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2AB6B" w14:textId="77777777" w:rsidR="00274063" w:rsidRPr="00877C4B" w:rsidRDefault="007D4ACE" w:rsidP="00877C4B">
      <w:pPr>
        <w:adjustRightInd w:val="0"/>
        <w:snapToGrid w:val="0"/>
        <w:spacing w:line="480" w:lineRule="auto"/>
        <w:jc w:val="center"/>
        <w:rPr>
          <w:rFonts w:ascii="Times New Roman" w:hAnsi="Times New Roman" w:cs="Times New Roman"/>
          <w:b/>
          <w:color w:val="000000" w:themeColor="text1"/>
        </w:rPr>
      </w:pPr>
      <w:r w:rsidRPr="00877C4B">
        <w:rPr>
          <w:rFonts w:ascii="Times New Roman" w:hAnsi="Times New Roman" w:cs="Times New Roman"/>
          <w:b/>
          <w:color w:val="000000" w:themeColor="text1"/>
        </w:rPr>
        <w:t xml:space="preserve">A Qualitative Comparative Analysis of </w:t>
      </w:r>
      <w:r w:rsidRPr="00877C4B">
        <w:rPr>
          <w:rFonts w:ascii="Times New Roman" w:hAnsi="Times New Roman" w:cs="Times New Roman" w:hint="eastAsia"/>
          <w:b/>
          <w:color w:val="000000" w:themeColor="text1"/>
        </w:rPr>
        <w:t>Health</w:t>
      </w:r>
      <w:r w:rsidRPr="00877C4B">
        <w:rPr>
          <w:rFonts w:ascii="Times New Roman" w:hAnsi="Times New Roman" w:cs="Times New Roman"/>
          <w:b/>
          <w:color w:val="000000" w:themeColor="text1"/>
        </w:rPr>
        <w:t xml:space="preserve"> Narrative Communication Effects </w:t>
      </w:r>
      <w:r w:rsidRPr="00877C4B">
        <w:rPr>
          <w:rFonts w:ascii="Times New Roman" w:hAnsi="Times New Roman" w:cs="Times New Roman" w:hint="eastAsia"/>
          <w:b/>
          <w:color w:val="000000" w:themeColor="text1"/>
        </w:rPr>
        <w:t>of</w:t>
      </w:r>
      <w:r w:rsidRPr="00877C4B">
        <w:rPr>
          <w:rFonts w:ascii="Times New Roman" w:hAnsi="Times New Roman" w:cs="Times New Roman"/>
          <w:b/>
          <w:color w:val="000000" w:themeColor="text1"/>
        </w:rPr>
        <w:t xml:space="preserve"> Government </w:t>
      </w:r>
      <w:r w:rsidRPr="00877C4B">
        <w:rPr>
          <w:rFonts w:ascii="Times New Roman" w:hAnsi="Times New Roman" w:cs="Times New Roman" w:hint="eastAsia"/>
          <w:b/>
          <w:color w:val="000000" w:themeColor="text1"/>
        </w:rPr>
        <w:t>TikTok</w:t>
      </w:r>
      <w:r w:rsidRPr="00877C4B">
        <w:rPr>
          <w:rFonts w:ascii="Times New Roman" w:hAnsi="Times New Roman" w:cs="Times New Roman"/>
          <w:b/>
          <w:color w:val="000000" w:themeColor="text1"/>
        </w:rPr>
        <w:t xml:space="preserve"> </w:t>
      </w:r>
      <w:r w:rsidRPr="00877C4B">
        <w:rPr>
          <w:rFonts w:ascii="Times New Roman" w:hAnsi="Times New Roman" w:cs="Times New Roman Bold" w:hint="eastAsia"/>
          <w:b/>
          <w:bCs/>
          <w:color w:val="000000" w:themeColor="text1"/>
        </w:rPr>
        <w:t>Accounts</w:t>
      </w:r>
    </w:p>
    <w:p w14:paraId="3EC70695" w14:textId="77777777" w:rsidR="00274063" w:rsidRPr="00877C4B" w:rsidRDefault="007D4ACE" w:rsidP="00877C4B">
      <w:pPr>
        <w:adjustRightInd w:val="0"/>
        <w:snapToGrid w:val="0"/>
        <w:spacing w:line="480" w:lineRule="auto"/>
        <w:jc w:val="center"/>
        <w:rPr>
          <w:rFonts w:ascii="Times New Roman" w:hAnsi="Times New Roman" w:cs="Times New Roman"/>
          <w:color w:val="000000" w:themeColor="text1"/>
        </w:rPr>
      </w:pPr>
      <w:r w:rsidRPr="00877C4B">
        <w:rPr>
          <w:rFonts w:ascii="Times New Roman" w:hAnsi="Times New Roman" w:cs="Times New Roman"/>
          <w:color w:val="000000" w:themeColor="text1"/>
        </w:rPr>
        <w:t> Yitong</w:t>
      </w:r>
      <w:r w:rsidR="00073553">
        <w:rPr>
          <w:rFonts w:ascii="Times New Roman" w:hAnsi="Times New Roman" w:cs="Times New Roman"/>
          <w:color w:val="000000" w:themeColor="text1"/>
        </w:rPr>
        <w:t xml:space="preserve"> </w:t>
      </w:r>
      <w:r w:rsidR="00073553" w:rsidRPr="00877C4B">
        <w:rPr>
          <w:rFonts w:ascii="Times New Roman" w:hAnsi="Times New Roman" w:cs="Times New Roman"/>
          <w:color w:val="000000" w:themeColor="text1"/>
        </w:rPr>
        <w:t>Z</w:t>
      </w:r>
      <w:r w:rsidR="00073553">
        <w:rPr>
          <w:rFonts w:ascii="Times New Roman" w:hAnsi="Times New Roman" w:cs="Times New Roman" w:hint="eastAsia"/>
          <w:color w:val="000000" w:themeColor="text1"/>
        </w:rPr>
        <w:t>hao</w:t>
      </w:r>
      <w:r w:rsidR="00073553" w:rsidRPr="00877C4B">
        <w:rPr>
          <w:rFonts w:ascii="Times New Roman" w:hAnsi="Times New Roman" w:cs="Times New Roman" w:hint="eastAsia"/>
          <w:color w:val="000000" w:themeColor="text1"/>
          <w:vertAlign w:val="superscript"/>
        </w:rPr>
        <w:t xml:space="preserve"> </w:t>
      </w:r>
      <w:r w:rsidR="009D2917" w:rsidRPr="00877C4B">
        <w:rPr>
          <w:rFonts w:ascii="Times New Roman" w:hAnsi="Times New Roman" w:cs="Times New Roman" w:hint="eastAsia"/>
          <w:color w:val="000000" w:themeColor="text1"/>
          <w:vertAlign w:val="superscript"/>
        </w:rPr>
        <w:t>a</w:t>
      </w:r>
      <w:r w:rsidR="009D2917" w:rsidRPr="00877C4B">
        <w:rPr>
          <w:rFonts w:ascii="Times New Roman" w:hAnsi="Times New Roman" w:cs="Times New Roman"/>
          <w:color w:val="000000" w:themeColor="text1"/>
          <w:vertAlign w:val="superscript"/>
        </w:rPr>
        <w:t>*</w:t>
      </w:r>
      <w:r w:rsidR="00073553">
        <w:rPr>
          <w:rFonts w:ascii="Times New Roman" w:hAnsi="Times New Roman" w:cs="Times New Roman" w:hint="eastAsia"/>
          <w:color w:val="000000" w:themeColor="text1"/>
        </w:rPr>
        <w:t>，</w:t>
      </w:r>
      <w:r w:rsidRPr="00877C4B">
        <w:rPr>
          <w:rFonts w:ascii="Times New Roman" w:hAnsi="Times New Roman" w:cs="Times New Roman"/>
          <w:color w:val="000000" w:themeColor="text1"/>
        </w:rPr>
        <w:t>Jing</w:t>
      </w:r>
      <w:r w:rsidR="00073553">
        <w:rPr>
          <w:rFonts w:ascii="Times New Roman" w:hAnsi="Times New Roman" w:cs="Times New Roman"/>
          <w:color w:val="000000" w:themeColor="text1"/>
        </w:rPr>
        <w:t xml:space="preserve"> </w:t>
      </w:r>
      <w:r w:rsidR="00073553" w:rsidRPr="00877C4B">
        <w:rPr>
          <w:rFonts w:ascii="Times New Roman" w:hAnsi="Times New Roman" w:cs="Times New Roman"/>
          <w:color w:val="000000" w:themeColor="text1"/>
        </w:rPr>
        <w:t>Y</w:t>
      </w:r>
      <w:r w:rsidR="00073553">
        <w:rPr>
          <w:rFonts w:ascii="Times New Roman" w:hAnsi="Times New Roman" w:cs="Times New Roman" w:hint="eastAsia"/>
          <w:color w:val="000000" w:themeColor="text1"/>
        </w:rPr>
        <w:t>u</w:t>
      </w:r>
      <w:r w:rsidR="009D2917" w:rsidRPr="00877C4B">
        <w:rPr>
          <w:rFonts w:ascii="Times New Roman" w:hAnsi="Times New Roman" w:cs="Times New Roman" w:hint="eastAsia"/>
          <w:color w:val="000000" w:themeColor="text1"/>
          <w:vertAlign w:val="superscript"/>
        </w:rPr>
        <w:t>b</w:t>
      </w:r>
    </w:p>
    <w:p w14:paraId="74544C61" w14:textId="77777777" w:rsidR="00274063" w:rsidRPr="00877C4B" w:rsidRDefault="009D2917" w:rsidP="00DA4631">
      <w:pPr>
        <w:adjustRightInd w:val="0"/>
        <w:snapToGrid w:val="0"/>
        <w:spacing w:line="480" w:lineRule="auto"/>
        <w:jc w:val="both"/>
        <w:rPr>
          <w:rFonts w:ascii="Times New Roman" w:hAnsi="Times New Roman" w:cs="Times New Roman"/>
          <w:i/>
          <w:color w:val="000000" w:themeColor="text1"/>
        </w:rPr>
      </w:pPr>
      <w:r w:rsidRPr="00877C4B">
        <w:rPr>
          <w:rFonts w:ascii="Times New Roman" w:hAnsi="Times New Roman" w:cs="Times New Roman" w:hint="eastAsia"/>
          <w:i/>
          <w:color w:val="000000" w:themeColor="text1"/>
          <w:vertAlign w:val="superscript"/>
        </w:rPr>
        <w:t>a</w:t>
      </w:r>
      <w:r w:rsidR="007D4ACE" w:rsidRPr="00877C4B">
        <w:rPr>
          <w:rFonts w:ascii="Times New Roman" w:hAnsi="Times New Roman" w:cs="Times New Roman"/>
          <w:i/>
          <w:color w:val="000000" w:themeColor="text1"/>
        </w:rPr>
        <w:t>School of Politics and International Relations, East China Normal University, Shanghai, China</w:t>
      </w:r>
      <w:r w:rsidR="007D4ACE" w:rsidRPr="00877C4B">
        <w:rPr>
          <w:rFonts w:ascii="Times New Roman" w:hAnsi="Times New Roman" w:cs="Times New Roman"/>
          <w:i/>
          <w:color w:val="000000" w:themeColor="text1"/>
        </w:rPr>
        <w:t>；</w:t>
      </w:r>
    </w:p>
    <w:p w14:paraId="610325AA" w14:textId="77777777" w:rsidR="00274063" w:rsidRDefault="009D2917" w:rsidP="00DA4631">
      <w:pPr>
        <w:adjustRightInd w:val="0"/>
        <w:snapToGrid w:val="0"/>
        <w:spacing w:line="480" w:lineRule="auto"/>
        <w:jc w:val="both"/>
        <w:rPr>
          <w:rFonts w:ascii="Times New Roman" w:hAnsi="Times New Roman" w:cs="Times New Roman"/>
          <w:i/>
          <w:color w:val="000000" w:themeColor="text1"/>
        </w:rPr>
      </w:pPr>
      <w:r w:rsidRPr="00877C4B">
        <w:rPr>
          <w:rFonts w:ascii="Times New Roman" w:hAnsi="Times New Roman" w:cs="Times New Roman" w:hint="eastAsia"/>
          <w:i/>
          <w:color w:val="000000" w:themeColor="text1"/>
          <w:vertAlign w:val="superscript"/>
        </w:rPr>
        <w:t>b</w:t>
      </w:r>
      <w:bookmarkStart w:id="0" w:name="OLE_LINK3"/>
      <w:bookmarkStart w:id="1" w:name="OLE_LINK4"/>
      <w:bookmarkStart w:id="2" w:name="_GoBack"/>
      <w:r w:rsidR="007D4ACE" w:rsidRPr="00877C4B">
        <w:rPr>
          <w:rFonts w:ascii="Times New Roman" w:hAnsi="Times New Roman" w:cs="Times New Roman"/>
          <w:i/>
          <w:color w:val="000000" w:themeColor="text1"/>
        </w:rPr>
        <w:t>School of Communication, East China Normal University</w:t>
      </w:r>
      <w:bookmarkEnd w:id="0"/>
      <w:bookmarkEnd w:id="1"/>
      <w:bookmarkEnd w:id="2"/>
      <w:r w:rsidR="007D4ACE" w:rsidRPr="00877C4B">
        <w:rPr>
          <w:rFonts w:ascii="Times New Roman" w:hAnsi="Times New Roman" w:cs="Times New Roman"/>
          <w:i/>
          <w:color w:val="000000" w:themeColor="text1"/>
        </w:rPr>
        <w:t>, Shanghai , China</w:t>
      </w:r>
    </w:p>
    <w:p w14:paraId="50C8D17C" w14:textId="77777777" w:rsidR="0001147D" w:rsidRPr="00877C4B" w:rsidRDefault="00B57662" w:rsidP="00DA4631">
      <w:pPr>
        <w:adjustRightInd w:val="0"/>
        <w:snapToGrid w:val="0"/>
        <w:spacing w:line="480" w:lineRule="auto"/>
        <w:jc w:val="both"/>
        <w:rPr>
          <w:rFonts w:ascii="Times New Roman" w:hAnsi="Times New Roman" w:cs="Times New Roman"/>
          <w:i/>
          <w:color w:val="000000" w:themeColor="text1"/>
        </w:rPr>
      </w:pPr>
      <w:r w:rsidRPr="00B57662">
        <w:rPr>
          <w:rFonts w:ascii="Times New Roman" w:hAnsi="Times New Roman" w:cs="Times New Roman"/>
          <w:szCs w:val="26"/>
          <w:shd w:val="clear" w:color="auto" w:fill="FFFFFF"/>
        </w:rPr>
        <w:t>Correspondence</w:t>
      </w:r>
      <w:r w:rsidR="00073553">
        <w:rPr>
          <w:rFonts w:ascii="Times New Roman" w:hAnsi="Times New Roman" w:cs="Times New Roman" w:hint="eastAsia"/>
          <w:szCs w:val="26"/>
          <w:shd w:val="clear" w:color="auto" w:fill="FFFFFF"/>
        </w:rPr>
        <w:t>:</w:t>
      </w:r>
      <w:r w:rsidR="00073553" w:rsidRPr="00073553">
        <w:rPr>
          <w:rFonts w:ascii="Times New Roman" w:hAnsi="Times New Roman" w:cs="Times New Roman"/>
          <w:szCs w:val="26"/>
          <w:shd w:val="clear" w:color="auto" w:fill="FFFFFF"/>
        </w:rPr>
        <w:t>Yitong</w:t>
      </w:r>
      <w:r w:rsidR="00073553">
        <w:rPr>
          <w:rFonts w:ascii="Times New Roman" w:hAnsi="Times New Roman" w:cs="Times New Roman"/>
          <w:szCs w:val="26"/>
          <w:shd w:val="clear" w:color="auto" w:fill="FFFFFF"/>
        </w:rPr>
        <w:t xml:space="preserve"> </w:t>
      </w:r>
      <w:r w:rsidR="00073553" w:rsidRPr="00073553">
        <w:rPr>
          <w:rFonts w:ascii="Times New Roman" w:hAnsi="Times New Roman" w:cs="Times New Roman"/>
          <w:szCs w:val="26"/>
          <w:shd w:val="clear" w:color="auto" w:fill="FFFFFF"/>
        </w:rPr>
        <w:t>Zhao</w:t>
      </w:r>
      <w:r w:rsidR="00073553">
        <w:rPr>
          <w:rFonts w:ascii="Times New Roman" w:hAnsi="Times New Roman" w:cs="Times New Roman" w:hint="eastAsia"/>
          <w:szCs w:val="26"/>
          <w:shd w:val="clear" w:color="auto" w:fill="FFFFFF"/>
        </w:rPr>
        <w:t>;</w:t>
      </w:r>
      <w:r w:rsidR="00073553">
        <w:rPr>
          <w:rFonts w:ascii="Times New Roman" w:hAnsi="Times New Roman" w:cs="Times New Roman"/>
          <w:szCs w:val="26"/>
          <w:shd w:val="clear" w:color="auto" w:fill="FFFFFF"/>
        </w:rPr>
        <w:t xml:space="preserve"> </w:t>
      </w:r>
      <w:r w:rsidR="00073553" w:rsidRPr="00073553">
        <w:rPr>
          <w:rFonts w:ascii="Times New Roman" w:hAnsi="Times New Roman" w:cs="Times New Roman"/>
          <w:szCs w:val="26"/>
          <w:shd w:val="clear" w:color="auto" w:fill="FFFFFF"/>
        </w:rPr>
        <w:t>School of Politics and International Relations</w:t>
      </w:r>
      <w:r w:rsidR="00073553">
        <w:rPr>
          <w:rFonts w:ascii="Times New Roman" w:hAnsi="Times New Roman" w:cs="Times New Roman"/>
          <w:szCs w:val="26"/>
          <w:shd w:val="clear" w:color="auto" w:fill="FFFFFF"/>
        </w:rPr>
        <w:t xml:space="preserve">, </w:t>
      </w:r>
      <w:r w:rsidR="00073553" w:rsidRPr="00073553">
        <w:rPr>
          <w:rFonts w:ascii="Times New Roman" w:hAnsi="Times New Roman" w:cs="Times New Roman"/>
          <w:szCs w:val="26"/>
          <w:shd w:val="clear" w:color="auto" w:fill="FFFFFF"/>
        </w:rPr>
        <w:t>East China Normal University</w:t>
      </w:r>
      <w:r w:rsidR="00073553">
        <w:rPr>
          <w:rFonts w:ascii="Times New Roman" w:hAnsi="Times New Roman" w:cs="Times New Roman"/>
          <w:szCs w:val="26"/>
          <w:shd w:val="clear" w:color="auto" w:fill="FFFFFF"/>
        </w:rPr>
        <w:t xml:space="preserve">, </w:t>
      </w:r>
      <w:r w:rsidR="00073553" w:rsidRPr="00073553">
        <w:rPr>
          <w:rFonts w:ascii="Times New Roman" w:hAnsi="Times New Roman" w:cs="Times New Roman"/>
          <w:szCs w:val="26"/>
          <w:shd w:val="clear" w:color="auto" w:fill="FFFFFF"/>
        </w:rPr>
        <w:t>Shanghai</w:t>
      </w:r>
      <w:r w:rsidR="00073553">
        <w:rPr>
          <w:rFonts w:ascii="Times New Roman" w:hAnsi="Times New Roman" w:cs="Times New Roman"/>
          <w:szCs w:val="26"/>
          <w:shd w:val="clear" w:color="auto" w:fill="FFFFFF"/>
        </w:rPr>
        <w:t xml:space="preserve">, </w:t>
      </w:r>
      <w:r w:rsidR="00073553" w:rsidRPr="00073553">
        <w:rPr>
          <w:rFonts w:ascii="Times New Roman" w:hAnsi="Times New Roman" w:cs="Times New Roman"/>
          <w:szCs w:val="26"/>
          <w:shd w:val="clear" w:color="auto" w:fill="FFFFFF"/>
        </w:rPr>
        <w:t>China</w:t>
      </w:r>
      <w:r w:rsidR="00073553">
        <w:rPr>
          <w:rFonts w:ascii="Times New Roman" w:hAnsi="Times New Roman" w:cs="Times New Roman"/>
          <w:szCs w:val="26"/>
          <w:shd w:val="clear" w:color="auto" w:fill="FFFFFF"/>
        </w:rPr>
        <w:t xml:space="preserve">. </w:t>
      </w:r>
      <w:r w:rsidR="00073553">
        <w:rPr>
          <w:rFonts w:ascii="Times New Roman" w:hAnsi="Times New Roman" w:cs="Times New Roman" w:hint="eastAsia"/>
          <w:szCs w:val="26"/>
          <w:shd w:val="clear" w:color="auto" w:fill="FFFFFF"/>
        </w:rPr>
        <w:t>Email</w:t>
      </w:r>
      <w:r w:rsidR="00073553">
        <w:rPr>
          <w:rFonts w:ascii="Times New Roman" w:hAnsi="Times New Roman" w:cs="Times New Roman" w:hint="eastAsia"/>
          <w:szCs w:val="26"/>
          <w:shd w:val="clear" w:color="auto" w:fill="FFFFFF"/>
        </w:rPr>
        <w:t>：</w:t>
      </w:r>
      <w:r w:rsidR="00073553" w:rsidRPr="00073553">
        <w:rPr>
          <w:rFonts w:ascii="Times New Roman" w:hAnsi="Times New Roman" w:cs="Times New Roman"/>
          <w:szCs w:val="26"/>
          <w:shd w:val="clear" w:color="auto" w:fill="FFFFFF"/>
        </w:rPr>
        <w:t>51266000090@stu.ecnu.edu.cn</w:t>
      </w:r>
    </w:p>
    <w:p w14:paraId="43195D03" w14:textId="77777777" w:rsidR="00274063" w:rsidRPr="00877C4B" w:rsidRDefault="00274063" w:rsidP="00DA4631">
      <w:pPr>
        <w:adjustRightInd w:val="0"/>
        <w:snapToGrid w:val="0"/>
        <w:spacing w:line="480" w:lineRule="auto"/>
        <w:jc w:val="both"/>
        <w:rPr>
          <w:rFonts w:ascii="Times New Roman" w:hAnsi="Times New Roman" w:cs="Times New Roman"/>
          <w:color w:val="000000" w:themeColor="text1"/>
        </w:rPr>
      </w:pPr>
    </w:p>
    <w:p w14:paraId="3F120332" w14:textId="77777777" w:rsidR="00274063" w:rsidRPr="00877C4B" w:rsidRDefault="00274063" w:rsidP="00DA4631">
      <w:pPr>
        <w:adjustRightInd w:val="0"/>
        <w:snapToGrid w:val="0"/>
        <w:spacing w:line="480" w:lineRule="auto"/>
        <w:jc w:val="both"/>
        <w:rPr>
          <w:rFonts w:ascii="Times New Roman" w:hAnsi="Times New Roman" w:cs="Times New Roman"/>
          <w:color w:val="000000" w:themeColor="text1"/>
        </w:rPr>
      </w:pPr>
    </w:p>
    <w:p w14:paraId="31117D77" w14:textId="77777777" w:rsidR="00274063" w:rsidRPr="00877C4B" w:rsidRDefault="00274063" w:rsidP="00DA4631">
      <w:pPr>
        <w:adjustRightInd w:val="0"/>
        <w:snapToGrid w:val="0"/>
        <w:spacing w:line="480" w:lineRule="auto"/>
        <w:jc w:val="both"/>
        <w:rPr>
          <w:rFonts w:ascii="Times New Roman" w:hAnsi="Times New Roman" w:cs="Times New Roman"/>
          <w:color w:val="000000" w:themeColor="text1"/>
        </w:rPr>
      </w:pPr>
    </w:p>
    <w:p w14:paraId="07071214" w14:textId="77777777" w:rsidR="00274063" w:rsidRPr="00877C4B" w:rsidRDefault="00274063" w:rsidP="00DA4631">
      <w:pPr>
        <w:adjustRightInd w:val="0"/>
        <w:snapToGrid w:val="0"/>
        <w:spacing w:line="480" w:lineRule="auto"/>
        <w:jc w:val="both"/>
        <w:rPr>
          <w:rFonts w:ascii="Times New Roman" w:hAnsi="Times New Roman" w:cs="Times New Roman"/>
          <w:color w:val="000000" w:themeColor="text1"/>
        </w:rPr>
      </w:pPr>
    </w:p>
    <w:p w14:paraId="354D468F" w14:textId="77777777" w:rsidR="00274063" w:rsidRDefault="00274063" w:rsidP="00DA4631">
      <w:pPr>
        <w:adjustRightInd w:val="0"/>
        <w:snapToGrid w:val="0"/>
        <w:spacing w:line="480" w:lineRule="auto"/>
        <w:jc w:val="both"/>
        <w:rPr>
          <w:rFonts w:ascii="Times New Roman" w:hAnsi="Times New Roman" w:cs="Times New Roman"/>
          <w:color w:val="000000" w:themeColor="text1"/>
        </w:rPr>
      </w:pPr>
    </w:p>
    <w:p w14:paraId="7098A5C0" w14:textId="77777777" w:rsidR="007D4ACE" w:rsidRDefault="007D4ACE" w:rsidP="00DA4631">
      <w:pPr>
        <w:adjustRightInd w:val="0"/>
        <w:snapToGrid w:val="0"/>
        <w:spacing w:line="480" w:lineRule="auto"/>
        <w:jc w:val="both"/>
        <w:rPr>
          <w:rFonts w:ascii="Times New Roman" w:hAnsi="Times New Roman" w:cs="Times New Roman"/>
          <w:color w:val="000000" w:themeColor="text1"/>
        </w:rPr>
      </w:pPr>
    </w:p>
    <w:p w14:paraId="2B1BB3BB" w14:textId="77777777" w:rsidR="007D4ACE" w:rsidRDefault="007D4ACE" w:rsidP="00DA4631">
      <w:pPr>
        <w:adjustRightInd w:val="0"/>
        <w:snapToGrid w:val="0"/>
        <w:spacing w:line="480" w:lineRule="auto"/>
        <w:jc w:val="both"/>
        <w:rPr>
          <w:rFonts w:ascii="Times New Roman" w:hAnsi="Times New Roman" w:cs="Times New Roman"/>
          <w:color w:val="000000" w:themeColor="text1"/>
        </w:rPr>
      </w:pPr>
    </w:p>
    <w:p w14:paraId="60CAE5DF" w14:textId="77777777" w:rsidR="007D4ACE" w:rsidRDefault="007D4ACE" w:rsidP="00DA4631">
      <w:pPr>
        <w:adjustRightInd w:val="0"/>
        <w:snapToGrid w:val="0"/>
        <w:spacing w:line="480" w:lineRule="auto"/>
        <w:jc w:val="both"/>
        <w:rPr>
          <w:rFonts w:ascii="Times New Roman" w:hAnsi="Times New Roman" w:cs="Times New Roman"/>
          <w:color w:val="000000" w:themeColor="text1"/>
        </w:rPr>
      </w:pPr>
    </w:p>
    <w:p w14:paraId="62E18D27" w14:textId="77777777" w:rsidR="007D4ACE" w:rsidRDefault="007D4ACE" w:rsidP="00DA4631">
      <w:pPr>
        <w:adjustRightInd w:val="0"/>
        <w:snapToGrid w:val="0"/>
        <w:spacing w:line="480" w:lineRule="auto"/>
        <w:jc w:val="both"/>
        <w:rPr>
          <w:rFonts w:ascii="Times New Roman" w:hAnsi="Times New Roman" w:cs="Times New Roman"/>
          <w:color w:val="000000" w:themeColor="text1"/>
        </w:rPr>
      </w:pPr>
    </w:p>
    <w:p w14:paraId="01F0F5A7" w14:textId="77777777" w:rsidR="007D4ACE" w:rsidRDefault="007D4ACE" w:rsidP="00DA4631">
      <w:pPr>
        <w:adjustRightInd w:val="0"/>
        <w:snapToGrid w:val="0"/>
        <w:spacing w:line="480" w:lineRule="auto"/>
        <w:jc w:val="both"/>
        <w:rPr>
          <w:rFonts w:ascii="Times New Roman" w:hAnsi="Times New Roman" w:cs="Times New Roman"/>
          <w:color w:val="000000" w:themeColor="text1"/>
        </w:rPr>
      </w:pPr>
    </w:p>
    <w:p w14:paraId="140CAB0A" w14:textId="77777777" w:rsidR="007D4ACE" w:rsidRDefault="007D4ACE" w:rsidP="00DA4631">
      <w:pPr>
        <w:adjustRightInd w:val="0"/>
        <w:snapToGrid w:val="0"/>
        <w:spacing w:line="480" w:lineRule="auto"/>
        <w:jc w:val="both"/>
        <w:rPr>
          <w:rFonts w:ascii="Times New Roman" w:hAnsi="Times New Roman" w:cs="Times New Roman"/>
          <w:color w:val="000000" w:themeColor="text1"/>
        </w:rPr>
      </w:pPr>
    </w:p>
    <w:p w14:paraId="450A47EC" w14:textId="77777777" w:rsidR="007D4ACE" w:rsidRDefault="007D4ACE" w:rsidP="00DA4631">
      <w:pPr>
        <w:adjustRightInd w:val="0"/>
        <w:snapToGrid w:val="0"/>
        <w:spacing w:line="480" w:lineRule="auto"/>
        <w:jc w:val="both"/>
        <w:rPr>
          <w:rFonts w:ascii="Times New Roman" w:hAnsi="Times New Roman" w:cs="Times New Roman"/>
          <w:color w:val="000000" w:themeColor="text1"/>
        </w:rPr>
      </w:pPr>
    </w:p>
    <w:p w14:paraId="3675F670" w14:textId="77777777" w:rsidR="007D4ACE" w:rsidRDefault="007D4ACE" w:rsidP="00DA4631">
      <w:pPr>
        <w:adjustRightInd w:val="0"/>
        <w:snapToGrid w:val="0"/>
        <w:spacing w:line="480" w:lineRule="auto"/>
        <w:jc w:val="both"/>
        <w:rPr>
          <w:rFonts w:ascii="Times New Roman" w:hAnsi="Times New Roman" w:cs="Times New Roman"/>
          <w:color w:val="000000" w:themeColor="text1"/>
        </w:rPr>
      </w:pPr>
    </w:p>
    <w:p w14:paraId="667BE806" w14:textId="77777777" w:rsidR="007D4ACE" w:rsidRDefault="007D4ACE" w:rsidP="00DA4631">
      <w:pPr>
        <w:adjustRightInd w:val="0"/>
        <w:snapToGrid w:val="0"/>
        <w:spacing w:line="480" w:lineRule="auto"/>
        <w:jc w:val="both"/>
        <w:rPr>
          <w:rFonts w:ascii="Times New Roman" w:hAnsi="Times New Roman" w:cs="Times New Roman"/>
          <w:color w:val="000000" w:themeColor="text1"/>
        </w:rPr>
      </w:pPr>
    </w:p>
    <w:p w14:paraId="3A811701" w14:textId="77777777" w:rsidR="007D4ACE" w:rsidRDefault="007D4ACE" w:rsidP="00DA4631">
      <w:pPr>
        <w:adjustRightInd w:val="0"/>
        <w:snapToGrid w:val="0"/>
        <w:spacing w:line="480" w:lineRule="auto"/>
        <w:jc w:val="both"/>
        <w:rPr>
          <w:rFonts w:ascii="Times New Roman" w:hAnsi="Times New Roman" w:cs="Times New Roman"/>
          <w:color w:val="000000" w:themeColor="text1"/>
        </w:rPr>
      </w:pPr>
    </w:p>
    <w:p w14:paraId="055C5FA1" w14:textId="77777777" w:rsidR="007D4ACE" w:rsidRDefault="007D4ACE" w:rsidP="00DA4631">
      <w:pPr>
        <w:adjustRightInd w:val="0"/>
        <w:snapToGrid w:val="0"/>
        <w:spacing w:line="480" w:lineRule="auto"/>
        <w:jc w:val="both"/>
        <w:rPr>
          <w:rFonts w:ascii="Times New Roman" w:hAnsi="Times New Roman" w:cs="Times New Roman"/>
          <w:color w:val="000000" w:themeColor="text1"/>
        </w:rPr>
      </w:pPr>
    </w:p>
    <w:p w14:paraId="43CD43EF" w14:textId="77777777" w:rsidR="007D4ACE" w:rsidRPr="00877C4B" w:rsidRDefault="007D4ACE" w:rsidP="00DA4631">
      <w:pPr>
        <w:adjustRightInd w:val="0"/>
        <w:snapToGrid w:val="0"/>
        <w:spacing w:line="480" w:lineRule="auto"/>
        <w:jc w:val="both"/>
        <w:rPr>
          <w:rFonts w:ascii="Times New Roman" w:hAnsi="Times New Roman" w:cs="Times New Roman"/>
          <w:color w:val="000000" w:themeColor="text1"/>
        </w:rPr>
      </w:pPr>
    </w:p>
    <w:p w14:paraId="34B3F441" w14:textId="77777777" w:rsidR="00274063" w:rsidRPr="00877C4B" w:rsidRDefault="007D4ACE" w:rsidP="001123E3">
      <w:pPr>
        <w:adjustRightInd w:val="0"/>
        <w:snapToGrid w:val="0"/>
        <w:spacing w:line="480" w:lineRule="auto"/>
        <w:jc w:val="center"/>
        <w:rPr>
          <w:rFonts w:ascii="Times New Roman" w:hAnsi="Times New Roman" w:cs="Times New Roman Bold"/>
          <w:b/>
          <w:bCs/>
          <w:color w:val="000000" w:themeColor="text1"/>
        </w:rPr>
      </w:pPr>
      <w:r w:rsidRPr="00877C4B">
        <w:rPr>
          <w:rFonts w:ascii="Times New Roman" w:hAnsi="Times New Roman" w:cs="Times New Roman Bold"/>
          <w:b/>
          <w:bCs/>
          <w:color w:val="000000" w:themeColor="text1"/>
        </w:rPr>
        <w:lastRenderedPageBreak/>
        <w:t xml:space="preserve">A Qualitative Comparative Analysis of </w:t>
      </w:r>
      <w:r w:rsidRPr="00877C4B">
        <w:rPr>
          <w:rFonts w:ascii="Times New Roman" w:hAnsi="Times New Roman" w:cs="Times New Roman Bold" w:hint="eastAsia"/>
          <w:b/>
          <w:bCs/>
          <w:color w:val="000000" w:themeColor="text1"/>
        </w:rPr>
        <w:t>Health</w:t>
      </w:r>
      <w:r w:rsidRPr="00877C4B">
        <w:rPr>
          <w:rFonts w:ascii="Times New Roman" w:hAnsi="Times New Roman" w:cs="Times New Roman Bold"/>
          <w:b/>
          <w:bCs/>
          <w:color w:val="000000" w:themeColor="text1"/>
        </w:rPr>
        <w:t xml:space="preserve"> Narrative Communication Effects </w:t>
      </w:r>
      <w:r w:rsidRPr="00877C4B">
        <w:rPr>
          <w:rFonts w:ascii="Times New Roman" w:hAnsi="Times New Roman" w:cs="Times New Roman Bold" w:hint="eastAsia"/>
          <w:b/>
          <w:bCs/>
          <w:color w:val="000000" w:themeColor="text1"/>
        </w:rPr>
        <w:t>of</w:t>
      </w:r>
      <w:r w:rsidRPr="00877C4B">
        <w:rPr>
          <w:rFonts w:ascii="Times New Roman" w:hAnsi="Times New Roman" w:cs="Times New Roman Bold"/>
          <w:b/>
          <w:bCs/>
          <w:color w:val="000000" w:themeColor="text1"/>
        </w:rPr>
        <w:t xml:space="preserve"> Government TikTok </w:t>
      </w:r>
      <w:r w:rsidRPr="00877C4B">
        <w:rPr>
          <w:rFonts w:ascii="Times New Roman" w:hAnsi="Times New Roman" w:cs="Times New Roman Bold" w:hint="eastAsia"/>
          <w:b/>
          <w:bCs/>
          <w:color w:val="000000" w:themeColor="text1"/>
        </w:rPr>
        <w:t>Accounts</w:t>
      </w:r>
    </w:p>
    <w:p w14:paraId="76AE1F93" w14:textId="77777777" w:rsidR="00274063" w:rsidRPr="00877C4B" w:rsidRDefault="007D4ACE" w:rsidP="00DA4631">
      <w:pPr>
        <w:adjustRightInd w:val="0"/>
        <w:snapToGrid w:val="0"/>
        <w:spacing w:line="480" w:lineRule="auto"/>
        <w:jc w:val="both"/>
        <w:rPr>
          <w:rFonts w:ascii="Times New Roman" w:hAnsi="Times New Roman" w:cs="Times New Roman"/>
          <w:b/>
          <w:color w:val="000000" w:themeColor="text1"/>
        </w:rPr>
      </w:pPr>
      <w:r w:rsidRPr="00877C4B">
        <w:rPr>
          <w:rFonts w:ascii="Times New Roman" w:hAnsi="Times New Roman" w:cs="Times New Roman" w:hint="eastAsia"/>
          <w:b/>
          <w:color w:val="000000" w:themeColor="text1"/>
        </w:rPr>
        <w:t>Abstract</w:t>
      </w:r>
    </w:p>
    <w:p w14:paraId="10FE52ED"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bookmarkStart w:id="3" w:name="OLE_LINK1"/>
      <w:bookmarkStart w:id="4" w:name="OLE_LINK2"/>
      <w:r w:rsidRPr="00877C4B">
        <w:rPr>
          <w:rFonts w:ascii="Times New Roman" w:hAnsi="Times New Roman" w:cs="Times New Roman Bold"/>
          <w:b/>
          <w:bCs/>
          <w:color w:val="000000" w:themeColor="text1"/>
        </w:rPr>
        <w:t xml:space="preserve">Objective: </w:t>
      </w:r>
      <w:r w:rsidRPr="00877C4B">
        <w:rPr>
          <w:rFonts w:ascii="Times New Roman" w:hAnsi="Times New Roman" w:cs="Times New Roman"/>
          <w:color w:val="000000" w:themeColor="text1"/>
        </w:rPr>
        <w:t>This study aims to explore the narrative communication effects of health-related content on government TikTok accounts, with the goal of identifying effective strategies that enhance public engagement and improve health communication outcomes.</w:t>
      </w:r>
    </w:p>
    <w:p w14:paraId="07BFFFC7"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Bold"/>
          <w:b/>
          <w:bCs/>
          <w:color w:val="000000" w:themeColor="text1"/>
        </w:rPr>
        <w:t xml:space="preserve">Methods: </w:t>
      </w:r>
      <w:r w:rsidRPr="00877C4B">
        <w:rPr>
          <w:rFonts w:ascii="Times New Roman" w:hAnsi="Times New Roman" w:cs="Times New Roman"/>
          <w:color w:val="000000" w:themeColor="text1"/>
        </w:rPr>
        <w:t xml:space="preserve">Using the TikTok account of the Shenzhen Health Commission as a case study, this research employs </w:t>
      </w:r>
      <w:r w:rsidRPr="00877C4B">
        <w:rPr>
          <w:rFonts w:ascii="Times New Roman" w:hAnsi="Times New Roman" w:cs="Times New Roman" w:hint="eastAsia"/>
          <w:color w:val="000000" w:themeColor="text1"/>
        </w:rPr>
        <w:t>c</w:t>
      </w:r>
      <w:r w:rsidRPr="00877C4B">
        <w:rPr>
          <w:rFonts w:ascii="Times New Roman" w:hAnsi="Times New Roman" w:cs="Times New Roman"/>
          <w:color w:val="000000" w:themeColor="text1"/>
        </w:rPr>
        <w:t>risp-</w:t>
      </w:r>
      <w:r w:rsidRPr="00877C4B">
        <w:rPr>
          <w:rFonts w:ascii="Times New Roman" w:hAnsi="Times New Roman" w:cs="Times New Roman" w:hint="eastAsia"/>
          <w:color w:val="000000" w:themeColor="text1"/>
        </w:rPr>
        <w:t>s</w:t>
      </w:r>
      <w:r w:rsidRPr="00877C4B">
        <w:rPr>
          <w:rFonts w:ascii="Times New Roman" w:hAnsi="Times New Roman" w:cs="Times New Roman"/>
          <w:color w:val="000000" w:themeColor="text1"/>
        </w:rPr>
        <w:t>et Qualitative Comparative Analysis (csQCA) to examine the narrative strategies used in 46 health-related short videos. Key variables, including knowledge cues, belief cues, action cues, and narrative style, are analyzed to identify effective pathways for health communication.</w:t>
      </w:r>
    </w:p>
    <w:p w14:paraId="6BC4392D"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Bold"/>
          <w:b/>
          <w:bCs/>
          <w:color w:val="000000" w:themeColor="text1"/>
        </w:rPr>
        <w:t>Results:</w:t>
      </w:r>
      <w:r w:rsidRPr="00877C4B">
        <w:rPr>
          <w:rFonts w:ascii="Times New Roman" w:hAnsi="Times New Roman" w:cs="Times New Roman" w:hint="eastAsia"/>
          <w:color w:val="000000" w:themeColor="text1"/>
        </w:rPr>
        <w:t xml:space="preserve"> The csQCA analysis reveals 11 distinct narrative </w:t>
      </w:r>
      <w:r w:rsidRPr="00877C4B">
        <w:rPr>
          <w:rFonts w:ascii="Times New Roman" w:hAnsi="Times New Roman" w:cs="Times New Roman"/>
          <w:color w:val="000000" w:themeColor="text1"/>
        </w:rPr>
        <w:t>paths</w:t>
      </w:r>
      <w:r w:rsidRPr="00877C4B">
        <w:rPr>
          <w:rFonts w:ascii="Times New Roman" w:hAnsi="Times New Roman" w:cs="Times New Roman" w:hint="eastAsia"/>
          <w:color w:val="000000" w:themeColor="text1"/>
        </w:rPr>
        <w:t xml:space="preserve"> with an overall consistency of 1.0 and coverage of 0.815. Among these, three primary </w:t>
      </w:r>
      <w:r w:rsidRPr="00877C4B">
        <w:rPr>
          <w:rFonts w:ascii="Times New Roman" w:hAnsi="Times New Roman" w:cs="Times New Roman"/>
          <w:color w:val="000000" w:themeColor="text1"/>
        </w:rPr>
        <w:t>paths</w:t>
      </w:r>
      <w:r w:rsidRPr="00877C4B">
        <w:rPr>
          <w:rFonts w:ascii="Times New Roman" w:hAnsi="Times New Roman" w:cs="Times New Roman" w:hint="eastAsia"/>
          <w:color w:val="000000" w:themeColor="text1"/>
        </w:rPr>
        <w:t>—</w:t>
      </w:r>
      <w:r w:rsidRPr="00877C4B">
        <w:rPr>
          <w:rFonts w:ascii="Times New Roman" w:hAnsi="Times New Roman" w:cs="Times New Roman" w:hint="eastAsia"/>
          <w:color w:val="000000" w:themeColor="text1"/>
        </w:rPr>
        <w:t>"Edutainment Short Drama," "Collaboration with Internet-Famous Doctors," and "Emotional Resonance Short Drama"</w:t>
      </w:r>
      <w:r w:rsidRPr="00877C4B">
        <w:rPr>
          <w:rFonts w:ascii="Times New Roman" w:hAnsi="Times New Roman" w:cs="Times New Roman" w:hint="eastAsia"/>
          <w:color w:val="000000" w:themeColor="text1"/>
        </w:rPr>
        <w:t>—</w:t>
      </w:r>
      <w:r w:rsidRPr="00877C4B">
        <w:rPr>
          <w:rFonts w:ascii="Times New Roman" w:hAnsi="Times New Roman" w:cs="Times New Roman" w:hint="eastAsia"/>
          <w:color w:val="000000" w:themeColor="text1"/>
        </w:rPr>
        <w:t>demonstrate the strongest explanatory power for successful health communication outcomes. The combination of professional medical knowledge, immersive perspectives, and engaging audiovisual techniques is crucial for driving audience interaction.</w:t>
      </w:r>
    </w:p>
    <w:p w14:paraId="61D262EA"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hint="eastAsia"/>
          <w:b/>
          <w:color w:val="000000" w:themeColor="text1"/>
        </w:rPr>
        <w:t>Conclusions:</w:t>
      </w:r>
      <w:r w:rsidRPr="00877C4B">
        <w:rPr>
          <w:rFonts w:ascii="Times New Roman" w:hAnsi="Times New Roman" w:cs="Times New Roman" w:hint="eastAsia"/>
          <w:color w:val="000000" w:themeColor="text1"/>
        </w:rPr>
        <w:t xml:space="preserve"> The findings suggest that high-quality narrative strategies</w:t>
      </w:r>
      <w:r w:rsidRPr="00877C4B">
        <w:rPr>
          <w:rFonts w:ascii="Times New Roman" w:hAnsi="Times New Roman" w:cs="Times New Roman" w:hint="eastAsia"/>
          <w:color w:val="000000" w:themeColor="text1"/>
        </w:rPr>
        <w:t>—</w:t>
      </w:r>
      <w:r w:rsidRPr="00877C4B">
        <w:rPr>
          <w:rFonts w:ascii="Times New Roman" w:hAnsi="Times New Roman" w:cs="Times New Roman" w:hint="eastAsia"/>
          <w:color w:val="000000" w:themeColor="text1"/>
        </w:rPr>
        <w:t>particularly those incorporating emotional appeal, expert collaboration, and technical audiovisual elements</w:t>
      </w:r>
      <w:r w:rsidRPr="00877C4B">
        <w:rPr>
          <w:rFonts w:ascii="Times New Roman" w:hAnsi="Times New Roman" w:cs="Times New Roman" w:hint="eastAsia"/>
          <w:color w:val="000000" w:themeColor="text1"/>
        </w:rPr>
        <w:t>—</w:t>
      </w:r>
      <w:r w:rsidRPr="00877C4B">
        <w:rPr>
          <w:rFonts w:ascii="Times New Roman" w:hAnsi="Times New Roman" w:cs="Times New Roman" w:hint="eastAsia"/>
          <w:color w:val="000000" w:themeColor="text1"/>
        </w:rPr>
        <w:t>significantly enhance the communication impact of short videos related to government. These insights can guide the development of more effective health communication practices for local government social media platforms.</w:t>
      </w:r>
    </w:p>
    <w:bookmarkEnd w:id="3"/>
    <w:bookmarkEnd w:id="4"/>
    <w:p w14:paraId="5F2996AE" w14:textId="78ED059E" w:rsidR="00274063" w:rsidRPr="00F4657C"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Bold"/>
          <w:b/>
          <w:bCs/>
          <w:color w:val="000000" w:themeColor="text1"/>
        </w:rPr>
        <w:t>Keywords:</w:t>
      </w:r>
      <w:r w:rsidRPr="00877C4B">
        <w:rPr>
          <w:rFonts w:ascii="Times New Roman" w:hAnsi="Times New Roman" w:cs="Times New Roman" w:hint="eastAsia"/>
          <w:color w:val="000000" w:themeColor="text1"/>
        </w:rPr>
        <w:t xml:space="preserve"> health communication, narrative strategy, government social media</w:t>
      </w:r>
    </w:p>
    <w:p w14:paraId="59866BB9" w14:textId="77777777" w:rsidR="00274063" w:rsidRPr="00877C4B" w:rsidRDefault="007D4ACE" w:rsidP="00DA4631">
      <w:pPr>
        <w:shd w:val="clear" w:color="auto" w:fill="FFFFFF"/>
        <w:adjustRightInd w:val="0"/>
        <w:snapToGrid w:val="0"/>
        <w:spacing w:line="480" w:lineRule="auto"/>
        <w:jc w:val="both"/>
        <w:rPr>
          <w:rFonts w:ascii="Times New Roman" w:hAnsi="Times New Roman" w:cs="Times New Roman"/>
          <w:b/>
          <w:color w:val="000000" w:themeColor="text1"/>
        </w:rPr>
      </w:pPr>
      <w:r w:rsidRPr="00877C4B">
        <w:rPr>
          <w:rFonts w:ascii="Times New Roman" w:hAnsi="Times New Roman" w:cs="Times New Roman"/>
          <w:b/>
          <w:color w:val="000000" w:themeColor="text1"/>
        </w:rPr>
        <w:t>1.Introduction</w:t>
      </w:r>
    </w:p>
    <w:p w14:paraId="14DF823C" w14:textId="77777777" w:rsidR="00274063" w:rsidRPr="00877C4B" w:rsidRDefault="007D4ACE" w:rsidP="009841C1">
      <w:pPr>
        <w:pStyle w:val="a5"/>
        <w:adjustRightInd w:val="0"/>
        <w:snapToGrid w:val="0"/>
        <w:spacing w:before="0" w:beforeAutospacing="0" w:after="0" w:afterAutospacing="0"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lastRenderedPageBreak/>
        <w:t>People's health is an important cornerstone of national development, and achieving this goal requires active health education and awareness initiatives to promote healthy behaviors and lifestyles. Building a Healthy China, as one of the overarching goals of China's development, further establishes the key role of public health in the process of socialist modernization. Health communication plays a crucial role in achieving public health goals, aiming to enhance the public's health knowledge, change health attitudes and behaviors, and reduce health inequalities.</w:t>
      </w:r>
    </w:p>
    <w:p w14:paraId="5D93EC18" w14:textId="77777777" w:rsidR="00274063" w:rsidRPr="00877C4B" w:rsidRDefault="007D4ACE" w:rsidP="00DA4631">
      <w:pPr>
        <w:pStyle w:val="a5"/>
        <w:adjustRightInd w:val="0"/>
        <w:snapToGrid w:val="0"/>
        <w:spacing w:before="0" w:beforeAutospacing="0" w:after="0" w:afterAutospacing="0" w:line="480" w:lineRule="auto"/>
        <w:ind w:firstLineChars="200" w:firstLine="480"/>
        <w:jc w:val="both"/>
        <w:rPr>
          <w:rFonts w:ascii="Times New Roman" w:hAnsi="Times New Roman" w:cs="Times New Roman"/>
          <w:color w:val="000000" w:themeColor="text1"/>
        </w:rPr>
      </w:pPr>
      <w:r w:rsidRPr="00877C4B">
        <w:rPr>
          <w:rFonts w:ascii="Times New Roman" w:hAnsi="Times New Roman" w:cs="Times New Roman" w:hint="eastAsia"/>
          <w:color w:val="000000" w:themeColor="text1"/>
        </w:rPr>
        <w:t>Government social media</w:t>
      </w:r>
      <w:r w:rsidRPr="00877C4B">
        <w:rPr>
          <w:rFonts w:ascii="Times New Roman" w:hAnsi="Times New Roman" w:cs="Times New Roman"/>
          <w:color w:val="000000" w:themeColor="text1"/>
        </w:rPr>
        <w:t xml:space="preserve"> serves as an important platform for the Party and the government to shape public opinion and communication; it is a significant means to build a service-oriented government and an important way to improve social governance capabilities. In the health and construction sectors, new media emphasizes the development and innovation of communication methods, effectively conveying health information and performing prominently in the establishment of the </w:t>
      </w:r>
      <w:r w:rsidRPr="00877C4B">
        <w:rPr>
          <w:rFonts w:ascii="Times New Roman" w:hAnsi="Times New Roman" w:cs="Times New Roman" w:hint="eastAsia"/>
          <w:color w:val="000000" w:themeColor="text1"/>
        </w:rPr>
        <w:t>government social media</w:t>
      </w:r>
      <w:r w:rsidRPr="00877C4B">
        <w:rPr>
          <w:rFonts w:ascii="Times New Roman" w:hAnsi="Times New Roman" w:cs="Times New Roman"/>
          <w:color w:val="000000" w:themeColor="text1"/>
        </w:rPr>
        <w:t xml:space="preserve"> system. Government and public health departments utilize major social media platforms to engage with the public, provide timely health information, strengthen public trust in the government, promote government-citizen interaction, and collaborate in responding to health crises </w:t>
      </w:r>
      <w:r w:rsidRPr="00877C4B">
        <w:rPr>
          <w:rFonts w:ascii="Times New Roman" w:hAnsi="Times New Roman" w:cs="Times New Roman"/>
          <w:color w:val="000000" w:themeColor="text1"/>
        </w:rPr>
        <w:fldChar w:fldCharType="begin"/>
      </w:r>
      <w:r w:rsidRPr="00877C4B">
        <w:rPr>
          <w:rFonts w:ascii="Times New Roman" w:hAnsi="Times New Roman" w:cs="Times New Roman"/>
          <w:color w:val="000000" w:themeColor="text1"/>
        </w:rPr>
        <w:instrText xml:space="preserve"> ADDIN ZOTERO_ITEM CSL_CITATION {"citationID":"gsHRi3ye","properties":{"formattedCitation":"(Chen et al., 2020)","plainCitation":"(Chen et al., 2020)","noteIndex":0},"citationItems":[{"id":269,"uris":["http://zotero.org/users/12189709/items/NMN4USB2"],"itemData":{"id":269,"type":"article-journal","abstract":"During times of public crises, governments must act swiftly to communicate crisis information effectively and efficiently to members of the public; failure to do so will inevitably lead citizens to become fearful, uncertain and anxious in the prevailing conditions. This pioneering study systematically investigates how Chinese central government agencies used social media to promote citizen engagement during the COVID-19 crisis. Using data scraped from ‘Healthy China’, an official Sina Weibo account of the National Health Commission of China, we examine how citizen engagement relates to a series of theoretically relevant factors, including media richness, dialogic loop, content type and emotional valence. Results show that media richness negatively predicts citizen engagement through government social media, but dialogic loop facilitates engagement. Information relating to the latest news about the crisis and the government’s handling of the event positively affects citizen engagement through government social media. Importantly, all relationships were contingent upon the emotional valence of each Weibo post.","container-title":"Computers in Human Behavior","DOI":"10.1016/j.chb.2020.106380","ISSN":"07475632","journalAbbreviation":"Computers in Human Behavior","language":"en","note":"TLDR: Results show that media richness negatively predicts citizen engagement through government social media, but dialogic loop facilitates engagement, and all relationships were contingent upon the emotional valence of each Weibo post.","page":"106380","source":"DOI.org (Crossref)","title":"Unpacking the black box: How to promote citizen engagement through government social media during the COVID-19 crisis","title-short":"Unpacking the black box","volume":"110","author":[{"family":"Chen","given":"Qiang"},{"family":"Min","given":"Chen"},{"family":"Zhang","given":"Wei"},{"family":"Wang","given":"Ge"},{"family":"Ma","given":"Xiaoyue"},{"family":"Evans","given":"Richard"}],"issued":{"date-parts":[["2020",9]]}}}],"schema":"https://github.com/citation-style-language/schema/raw/master/csl-citation.json"} </w:instrText>
      </w:r>
      <w:r w:rsidRPr="00877C4B">
        <w:rPr>
          <w:rFonts w:ascii="Times New Roman" w:hAnsi="Times New Roman" w:cs="Times New Roman"/>
          <w:color w:val="000000" w:themeColor="text1"/>
        </w:rPr>
        <w:fldChar w:fldCharType="separate"/>
      </w:r>
      <w:r w:rsidRPr="00877C4B">
        <w:rPr>
          <w:rFonts w:ascii="Times New Roman" w:hAnsi="Times New Roman" w:cs="Times New Roman"/>
          <w:color w:val="000000" w:themeColor="text1"/>
        </w:rPr>
        <w:t>(Chen et al., 2020)</w:t>
      </w:r>
      <w:r w:rsidRPr="00877C4B">
        <w:rPr>
          <w:rFonts w:ascii="Times New Roman" w:hAnsi="Times New Roman" w:cs="Times New Roman"/>
          <w:color w:val="000000" w:themeColor="text1"/>
        </w:rPr>
        <w:fldChar w:fldCharType="end"/>
      </w:r>
      <w:r w:rsidRPr="00877C4B">
        <w:rPr>
          <w:rFonts w:ascii="Times New Roman" w:hAnsi="Times New Roman" w:cs="Times New Roman"/>
          <w:color w:val="000000" w:themeColor="text1"/>
        </w:rPr>
        <w:t xml:space="preserve">. In the current era of social media, </w:t>
      </w:r>
      <w:r w:rsidRPr="00877C4B">
        <w:rPr>
          <w:rFonts w:ascii="Times New Roman" w:hAnsi="Times New Roman" w:cs="Times New Roman" w:hint="eastAsia"/>
          <w:color w:val="000000" w:themeColor="text1"/>
        </w:rPr>
        <w:t>short videos related to government</w:t>
      </w:r>
      <w:r w:rsidRPr="00877C4B">
        <w:rPr>
          <w:rFonts w:ascii="Times New Roman" w:hAnsi="Times New Roman" w:cs="Times New Roman"/>
          <w:color w:val="000000" w:themeColor="text1"/>
        </w:rPr>
        <w:t xml:space="preserve"> play an increasingly vital role in the public's access to information and serve a crucial function in promoting health risk communication. This development results from technological advancements, policy orientation, and practical needs.</w:t>
      </w:r>
    </w:p>
    <w:p w14:paraId="0ED54CAF" w14:textId="7E37AE6D" w:rsidR="00274063" w:rsidRPr="00877C4B" w:rsidRDefault="007D4ACE" w:rsidP="00DA4631">
      <w:pPr>
        <w:pStyle w:val="a5"/>
        <w:adjustRightInd w:val="0"/>
        <w:snapToGrid w:val="0"/>
        <w:spacing w:before="0" w:beforeAutospacing="0" w:after="0" w:afterAutospacing="0" w:line="480" w:lineRule="auto"/>
        <w:ind w:firstLineChars="200" w:firstLine="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Health Committees at all levels actively developed government short video content, releasing a series of videos on health science popularization, doctor-patient stories, and more on platforms such as TikTok </w:t>
      </w:r>
      <w:r w:rsidRPr="00877C4B">
        <w:rPr>
          <w:rFonts w:ascii="Times New Roman" w:hAnsi="Times New Roman" w:cs="Times New Roman"/>
          <w:color w:val="000000" w:themeColor="text1"/>
        </w:rPr>
        <w:fldChar w:fldCharType="begin"/>
      </w:r>
      <w:r w:rsidRPr="00877C4B">
        <w:rPr>
          <w:rFonts w:ascii="Times New Roman" w:hAnsi="Times New Roman" w:cs="Times New Roman"/>
          <w:color w:val="000000" w:themeColor="text1"/>
        </w:rPr>
        <w:instrText xml:space="preserve"> ADDIN ZOTERO_ITEM CSL_CITATION {"citationID":"cDZoG5Yr","properties":{"formattedCitation":"(Zhang et al., 2023)","plainCitation":"(Zhang et al., 2023)","noteIndex":0},"citationItems":[{"id":2199,"uris":["http://zotero.org/users/12189709/items/NBSD6VZ4"],"itemData":{"id":2199,"type":"article-journal","abstract":"Purpose\n              Although governments have used social media platforms to interact with the public in an attempt to minimize anxiety and provide a forum for public discussion during the pandemic, governments require sufficient crisis communication skills to engage citizens in taking appropriate action effectively. This study aims to examine how the National Health Commission of China (NHCC) has used TikTok, the leading short video–based platform, to facilitate public engagement during COVID-19.\n            \n            \n              Design/methodology/approach\n              Building upon dual process theories, this study integrates the activation of information exposure, prosocial interaction theory and social sharing of emotion theory to explore how public engagement is related to message sensation value (MSV), media character, content theme and emotional valence. A total of 354 TikTok videos posted by NHCC were collected during the pandemic to explore the determinants of public engagement in crises.\n            \n            \n              Findings\n              The findings demonstrate that MSV negatively predicts public engagement with government TikTok, but that instructional information increases engagement. The presence of celebrities and health-care professionals negatively affects public engagement with government TikTok accounts. In addition, emotional valence serves a moderating role between MSV, media characters and public engagement.\n            \n            \n              Originality/value\n              Government agencies must be fully aware of the different combinations of MSV and emotion use in the video title when releasing crisis-related videos. Government agencies can also leverage media characters – health professionals in particular – to enhance public engagement. Government agencies are encouraged to solicit public demand for the specific content of instructing information through data mining techniques.","container-title":"The Electronic Library","DOI":"10.1108/EL-06-2023-0150","ISSN":"0264-0473, 0264-0473","journalAbbreviation":"EL","language":"en","source":"DOI.org (Crossref)","title":"Factors influencing public engagement in government TikTok during the COVID-19 crisis","URL":"https://www.emerald.com/insight/content/doi/10.1108/EL-06-2023-0150/full/html","author":[{"family":"Zhang","given":"Wei"},{"family":"Yuan","given":"Hui"},{"family":"Zhu","given":"Chengyan"},{"family":"Chen","given":"Qiang"},{"family":"Evans","given":"Richard David"},{"family":"Min","given":"Chen"}],"accessed":{"date-parts":[["2024",3,16]]},"issued":{"date-parts":[["2023",12,26]]}}}],"schema":"https://github.com/citation-style-language/schema/raw/master/csl-citation.json"} </w:instrText>
      </w:r>
      <w:r w:rsidRPr="00877C4B">
        <w:rPr>
          <w:rFonts w:ascii="Times New Roman" w:hAnsi="Times New Roman" w:cs="Times New Roman"/>
          <w:color w:val="000000" w:themeColor="text1"/>
        </w:rPr>
        <w:fldChar w:fldCharType="separate"/>
      </w:r>
      <w:r w:rsidRPr="00877C4B">
        <w:rPr>
          <w:rFonts w:ascii="Times New Roman" w:hAnsi="Times New Roman" w:cs="Times New Roman"/>
          <w:color w:val="000000" w:themeColor="text1"/>
        </w:rPr>
        <w:t>(Zhang et al., 2023)</w:t>
      </w:r>
      <w:r w:rsidRPr="00877C4B">
        <w:rPr>
          <w:rFonts w:ascii="Times New Roman" w:hAnsi="Times New Roman" w:cs="Times New Roman"/>
          <w:color w:val="000000" w:themeColor="text1"/>
        </w:rPr>
        <w:fldChar w:fldCharType="end"/>
      </w:r>
      <w:r w:rsidRPr="00877C4B">
        <w:rPr>
          <w:rFonts w:ascii="Times New Roman" w:hAnsi="Times New Roman" w:cs="Times New Roman"/>
          <w:color w:val="000000" w:themeColor="text1"/>
        </w:rPr>
        <w:t xml:space="preserve">. They leverage the advantages of </w:t>
      </w:r>
      <w:r w:rsidRPr="00877C4B">
        <w:rPr>
          <w:rFonts w:ascii="Times New Roman" w:hAnsi="Times New Roman" w:cs="Times New Roman" w:hint="eastAsia"/>
          <w:color w:val="000000" w:themeColor="text1"/>
        </w:rPr>
        <w:t>government social media</w:t>
      </w:r>
      <w:r w:rsidRPr="00877C4B">
        <w:rPr>
          <w:rFonts w:ascii="Times New Roman" w:hAnsi="Times New Roman" w:cs="Times New Roman"/>
          <w:color w:val="000000" w:themeColor="text1"/>
        </w:rPr>
        <w:t xml:space="preserve"> for health communication and promote effective health risk communication. In recent years, health-related </w:t>
      </w:r>
      <w:r w:rsidRPr="00877C4B">
        <w:rPr>
          <w:rFonts w:ascii="Times New Roman" w:hAnsi="Times New Roman" w:cs="Times New Roman" w:hint="eastAsia"/>
          <w:color w:val="000000" w:themeColor="text1"/>
        </w:rPr>
        <w:t xml:space="preserve">government social </w:t>
      </w:r>
      <w:r w:rsidRPr="00877C4B">
        <w:rPr>
          <w:rFonts w:ascii="Times New Roman" w:hAnsi="Times New Roman" w:cs="Times New Roman" w:hint="eastAsia"/>
          <w:color w:val="000000" w:themeColor="text1"/>
        </w:rPr>
        <w:lastRenderedPageBreak/>
        <w:t>media</w:t>
      </w:r>
      <w:r w:rsidRPr="00877C4B">
        <w:rPr>
          <w:rFonts w:ascii="Times New Roman" w:hAnsi="Times New Roman" w:cs="Times New Roman"/>
          <w:color w:val="000000" w:themeColor="text1"/>
        </w:rPr>
        <w:t xml:space="preserve"> transformed its health communication strategy, gradually shifting from a reliance on statistical data to guide the public in improving health habits to a more diversified and humanized communication approach. These </w:t>
      </w:r>
      <w:r w:rsidRPr="00877C4B">
        <w:rPr>
          <w:rFonts w:ascii="Times New Roman" w:hAnsi="Times New Roman" w:cs="Times New Roman" w:hint="eastAsia"/>
          <w:color w:val="000000" w:themeColor="text1"/>
        </w:rPr>
        <w:t>government social media</w:t>
      </w:r>
      <w:r w:rsidRPr="00877C4B">
        <w:rPr>
          <w:rFonts w:ascii="Times New Roman" w:hAnsi="Times New Roman" w:cs="Times New Roman"/>
          <w:color w:val="000000" w:themeColor="text1"/>
        </w:rPr>
        <w:t xml:space="preserve"> platforms increasingly adopt storytelling, personal experience sharing, and educational methods incorporating entertainment elements to promote changes in public health behaviors. This transformation not only enriches the presentation of health information but also enhances its appeal and resonance, thereby more effectively influencing public health awareness and behavioral choices.</w:t>
      </w:r>
    </w:p>
    <w:p w14:paraId="27EB81A2" w14:textId="77777777" w:rsidR="00274063" w:rsidRPr="00877C4B" w:rsidRDefault="007D4ACE" w:rsidP="00DA4631">
      <w:pPr>
        <w:pStyle w:val="a5"/>
        <w:adjustRightInd w:val="0"/>
        <w:snapToGrid w:val="0"/>
        <w:spacing w:before="0" w:beforeAutospacing="0" w:after="0" w:afterAutospacing="0" w:line="480" w:lineRule="auto"/>
        <w:ind w:firstLineChars="200" w:firstLine="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In this context, high-quality government </w:t>
      </w:r>
      <w:r w:rsidRPr="00877C4B">
        <w:rPr>
          <w:rFonts w:ascii="Times New Roman" w:hAnsi="Times New Roman" w:cs="Times New Roman" w:hint="eastAsia"/>
          <w:color w:val="000000" w:themeColor="text1"/>
        </w:rPr>
        <w:t>TikTok</w:t>
      </w:r>
      <w:r w:rsidRPr="00877C4B">
        <w:rPr>
          <w:rFonts w:ascii="Times New Roman" w:hAnsi="Times New Roman" w:cs="Times New Roman"/>
          <w:color w:val="000000" w:themeColor="text1"/>
        </w:rPr>
        <w:t>, represented by the "Shenzhen Health Commission," have emerged, providing the public with accurate, understandable health content in a timely manner and bringing new ideas to government health communication. The official account engages in health narratives through video content, breaking the stereotype of science as overly serious and difficult to understand, and making the government appear more approachable and comprehensible. By building emotional connections and cognitive resonance, health communication can profoundly impact a wider audience, further promoting the achievement of health promotion goals.</w:t>
      </w:r>
    </w:p>
    <w:p w14:paraId="10D8F633" w14:textId="77777777" w:rsidR="00274063" w:rsidRPr="00877C4B" w:rsidRDefault="007D4ACE" w:rsidP="00DA4631">
      <w:pPr>
        <w:pStyle w:val="a5"/>
        <w:adjustRightInd w:val="0"/>
        <w:snapToGrid w:val="0"/>
        <w:spacing w:before="0" w:beforeAutospacing="0" w:after="0" w:afterAutospacing="0" w:line="480" w:lineRule="auto"/>
        <w:ind w:firstLineChars="200" w:firstLine="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Although </w:t>
      </w:r>
      <w:r w:rsidRPr="00877C4B">
        <w:rPr>
          <w:rFonts w:ascii="Times New Roman" w:hAnsi="Times New Roman" w:cs="Times New Roman" w:hint="eastAsia"/>
          <w:color w:val="000000" w:themeColor="text1"/>
        </w:rPr>
        <w:t>government social media</w:t>
      </w:r>
      <w:r w:rsidRPr="00877C4B">
        <w:rPr>
          <w:rFonts w:ascii="Times New Roman" w:hAnsi="Times New Roman" w:cs="Times New Roman"/>
          <w:color w:val="000000" w:themeColor="text1"/>
        </w:rPr>
        <w:t xml:space="preserve"> health narratives play an important role in providing information and collective responses, few studies have explored the narrative effect from the dimension of "narrative strategy effectiveness." Exploring the narrative strategies of health-related government </w:t>
      </w:r>
      <w:r w:rsidRPr="00877C4B">
        <w:rPr>
          <w:rFonts w:ascii="Times New Roman" w:hAnsi="Times New Roman" w:cs="Times New Roman" w:hint="eastAsia"/>
          <w:color w:val="000000" w:themeColor="text1"/>
        </w:rPr>
        <w:t>TikTok</w:t>
      </w:r>
      <w:r w:rsidRPr="00877C4B">
        <w:rPr>
          <w:rFonts w:ascii="Times New Roman" w:hAnsi="Times New Roman" w:cs="Times New Roman"/>
          <w:color w:val="000000" w:themeColor="text1"/>
        </w:rPr>
        <w:t xml:space="preserve"> is crucial because not all narratives lead to successful persuasion and improved health outcomes. The effect of narratives may vary depending on their characteristics, and some narratives may not be sufficient to influence health behaviors </w:t>
      </w:r>
      <w:r w:rsidRPr="00877C4B">
        <w:rPr>
          <w:rFonts w:ascii="Times New Roman" w:hAnsi="Times New Roman" w:cs="Times New Roman"/>
          <w:color w:val="000000" w:themeColor="text1"/>
        </w:rPr>
        <w:fldChar w:fldCharType="begin"/>
      </w:r>
      <w:r w:rsidRPr="00877C4B">
        <w:rPr>
          <w:rFonts w:ascii="Times New Roman" w:hAnsi="Times New Roman" w:cs="Times New Roman"/>
          <w:color w:val="000000" w:themeColor="text1"/>
        </w:rPr>
        <w:instrText xml:space="preserve"> ADDIN ZOTERO_ITEM CSL_CITATION {"citationID":"sDuFdkhp","properties":{"formattedCitation":"(De Graaf et al., 2016)","plainCitation":"(De Graaf et al., 2016)","noteIndex":0},"citationItems":[{"id":2823,"uris":["http://zotero.org/users/12189709/items/SKTRTCLH"],"itemData":{"id":2823,"type":"article-journal","abstract":"METHOD...........................................................................................................92 Search Strategy ................................................................................................92 Selection Criteria..............................................................................................93 Review Strategy................................................................................................94\nRESULTS ...........................................................................................................94 Comparing Narratives to Control Conditions .....................................................94 Beliefs and attitudes. .....................................................................................95 Intention. .....................................................................................................95 Behavior. ...................................................................................................... 96 Final observations on comparing narratives to control conditions. ...................96 Comparing Different Versions of Narratives: Content .........................................97 Similarity. ....................................................................................................97 Framing. ......................................................................................................97 Emotional outcomes. ....................................................................................98 Final observations on content. ......................................................................98 Comparing Different Versions of Narratives: Form .............................................99 Medium. ......................................................................................................99 Perspective. ..................................................................................................99 Message embedding. .....................................................................................99 Final observations on form. ........................................................................ 100 Comparing Different Versions of Narratives: Context ....................................... 100\nCONCLUSION AND DISCUSSION ................................................................. 100 REFERENCES ................................................................................................. 103 TABLES ........................................................................................................... 113 COPYRIGHTS AND REPOSITORIES .............................................................. 131","container-title":"Review of Communication Research","DOI":"10.12840/issn.2255-4165.2016.04.01.011","ISSN":"22554165","journalAbbreviation":"RCR","language":"en","page":"88-131","source":"DOI.org (Crossref)","title":"Characteristics of narrative interventions and health effects: A review of the content, form, and context of narratives in health-related narrative persuasion research","title-short":"Characteristics of narrative interventions and health effects","volume":"4","author":[{"family":"De Graaf","given":"Anneke"},{"family":"Sanders","given":"José"},{"family":"Hoeken","given":"Hans"}],"issued":{"date-parts":[["2016"]]}}}],"schema":"https://github.com/citation-style-language/schema/raw/master/csl-citation.json"} </w:instrText>
      </w:r>
      <w:r w:rsidRPr="00877C4B">
        <w:rPr>
          <w:rFonts w:ascii="Times New Roman" w:hAnsi="Times New Roman" w:cs="Times New Roman"/>
          <w:color w:val="000000" w:themeColor="text1"/>
        </w:rPr>
        <w:fldChar w:fldCharType="separate"/>
      </w:r>
      <w:r w:rsidRPr="00877C4B">
        <w:rPr>
          <w:rFonts w:ascii="Times New Roman" w:hAnsi="Times New Roman" w:cs="Times New Roman"/>
          <w:color w:val="000000" w:themeColor="text1"/>
        </w:rPr>
        <w:t>(De Graaf et al., 2016)</w:t>
      </w:r>
      <w:r w:rsidRPr="00877C4B">
        <w:rPr>
          <w:rFonts w:ascii="Times New Roman" w:hAnsi="Times New Roman" w:cs="Times New Roman"/>
          <w:color w:val="000000" w:themeColor="text1"/>
        </w:rPr>
        <w:fldChar w:fldCharType="end"/>
      </w:r>
      <w:r w:rsidRPr="00877C4B">
        <w:rPr>
          <w:rFonts w:ascii="Times New Roman" w:hAnsi="Times New Roman" w:cs="Times New Roman"/>
          <w:color w:val="000000" w:themeColor="text1"/>
        </w:rPr>
        <w:t xml:space="preserve">. In other words, narratives are not always a universal strategy for conveying health information and influencing changes in audience attitudes and behaviors; their effectiveness depends on factors such as the </w:t>
      </w:r>
      <w:r w:rsidRPr="00877C4B">
        <w:rPr>
          <w:rFonts w:ascii="Times New Roman" w:hAnsi="Times New Roman" w:cs="Times New Roman"/>
          <w:color w:val="000000" w:themeColor="text1"/>
        </w:rPr>
        <w:lastRenderedPageBreak/>
        <w:t xml:space="preserve">emotions conveyed and the storytelling approach </w:t>
      </w:r>
      <w:r w:rsidRPr="00877C4B">
        <w:rPr>
          <w:rFonts w:ascii="Times New Roman" w:hAnsi="Times New Roman" w:cs="Times New Roman"/>
          <w:color w:val="000000" w:themeColor="text1"/>
        </w:rPr>
        <w:fldChar w:fldCharType="begin"/>
      </w:r>
      <w:r w:rsidRPr="00877C4B">
        <w:rPr>
          <w:rFonts w:ascii="Times New Roman" w:hAnsi="Times New Roman" w:cs="Times New Roman"/>
          <w:color w:val="000000" w:themeColor="text1"/>
        </w:rPr>
        <w:instrText xml:space="preserve"> ADDIN ZOTERO_ITEM CSL_CITATION {"citationID":"eOaANnxS","properties":{"formattedCitation":"(Ma &amp; Nan, 2018)","plainCitation":"(Ma &amp; Nan, 2018)","noteIndex":0},"citationItems":[{"id":2840,"uris":["http://zotero.org/users/12189709/items/G8ZVFDXP"],"itemData":{"id":2840,"type":"article-journal","container-title":"Atlantic Journal of Communication","DOI":"10.1080/15456870.2018.1471925","ISSN":"1545-6870, 1545-6889","issue":"3","journalAbbreviation":"Atlantic Journal of Communication","language":"en","page":"196-209","source":"DOI.org (Crossref)","title":"Role of narratives in promoting mental illnesses acceptance","volume":"26","author":[{"family":"Ma","given":"Zexin"},{"family":"Nan","given":"Xiaoli"}],"issued":{"date-parts":[["2018",5,27]]}}}],"schema":"https://github.com/citation-style-language/schema/raw/master/csl-citation.json"} </w:instrText>
      </w:r>
      <w:r w:rsidRPr="00877C4B">
        <w:rPr>
          <w:rFonts w:ascii="Times New Roman" w:hAnsi="Times New Roman" w:cs="Times New Roman"/>
          <w:color w:val="000000" w:themeColor="text1"/>
        </w:rPr>
        <w:fldChar w:fldCharType="separate"/>
      </w:r>
      <w:r w:rsidRPr="00877C4B">
        <w:rPr>
          <w:rFonts w:ascii="Times New Roman" w:hAnsi="Times New Roman" w:cs="Times New Roman"/>
          <w:color w:val="000000" w:themeColor="text1"/>
        </w:rPr>
        <w:t>(Ma &amp; Nan, 2018)</w:t>
      </w:r>
      <w:r w:rsidRPr="00877C4B">
        <w:rPr>
          <w:rFonts w:ascii="Times New Roman" w:hAnsi="Times New Roman" w:cs="Times New Roman"/>
          <w:color w:val="000000" w:themeColor="text1"/>
        </w:rPr>
        <w:fldChar w:fldCharType="end"/>
      </w:r>
      <w:r w:rsidRPr="00877C4B">
        <w:rPr>
          <w:rFonts w:ascii="Times New Roman" w:hAnsi="Times New Roman" w:cs="Times New Roman"/>
          <w:color w:val="000000" w:themeColor="text1"/>
        </w:rPr>
        <w:t xml:space="preserve">. Moreover, existing studies mostly explore narrative effectiveness through experiments, with little focus on </w:t>
      </w:r>
      <w:r w:rsidRPr="00877C4B">
        <w:rPr>
          <w:rFonts w:ascii="Times New Roman" w:hAnsi="Times New Roman" w:cs="Times New Roman" w:hint="eastAsia"/>
          <w:color w:val="000000" w:themeColor="text1"/>
        </w:rPr>
        <w:t>government social media</w:t>
      </w:r>
      <w:r w:rsidRPr="00877C4B">
        <w:rPr>
          <w:rFonts w:ascii="Times New Roman" w:hAnsi="Times New Roman" w:cs="Times New Roman"/>
          <w:color w:val="000000" w:themeColor="text1"/>
        </w:rPr>
        <w:t xml:space="preserve"> platforms.</w:t>
      </w:r>
    </w:p>
    <w:p w14:paraId="6E69CDE7" w14:textId="77777777" w:rsidR="00274063" w:rsidRPr="00877C4B" w:rsidRDefault="007D4ACE" w:rsidP="00DA4631">
      <w:pPr>
        <w:pStyle w:val="a5"/>
        <w:adjustRightInd w:val="0"/>
        <w:snapToGrid w:val="0"/>
        <w:spacing w:before="0" w:beforeAutospacing="0" w:after="0" w:afterAutospacing="0" w:line="480" w:lineRule="auto"/>
        <w:ind w:firstLineChars="200" w:firstLine="480"/>
        <w:jc w:val="both"/>
        <w:rPr>
          <w:rFonts w:ascii="Times New Roman" w:hAnsi="Times New Roman" w:cs="Times New Roman"/>
          <w:color w:val="000000" w:themeColor="text1"/>
        </w:rPr>
      </w:pPr>
      <w:r w:rsidRPr="00877C4B">
        <w:rPr>
          <w:rFonts w:ascii="Times New Roman" w:hAnsi="Times New Roman" w:cs="Times New Roman"/>
          <w:color w:val="000000" w:themeColor="text1"/>
        </w:rPr>
        <w:t>In addition,</w:t>
      </w:r>
      <w:r w:rsidRPr="00877C4B">
        <w:rPr>
          <w:rFonts w:ascii="Times New Roman" w:hAnsi="Times New Roman" w:cs="Times New Roman" w:hint="eastAsia"/>
          <w:color w:val="000000" w:themeColor="text1"/>
        </w:rPr>
        <w:t xml:space="preserve"> short videos related to government </w:t>
      </w:r>
      <w:r w:rsidRPr="00877C4B">
        <w:rPr>
          <w:rFonts w:ascii="Times New Roman" w:hAnsi="Times New Roman" w:cs="Times New Roman"/>
          <w:color w:val="000000" w:themeColor="text1"/>
        </w:rPr>
        <w:t xml:space="preserve">have faced criticism for their excessive "entertainment" tendencies, with some accusing them of relying on vulgar elements to attract attention. Excessive use of internet slang and improper expressions can lead to user dissatisfaction and diminish the government's credibility. The public may also feel confused by the overwhelming and chaotic health information online, making it difficult to resonate with, resulting in unsatisfactory health communication effects. Thus, how to develop a "constructive" health narrative in content production, balance the inherent conflicts in controversial topics, and navigate the dual demands of official logic and media logic is a challenge faced by health-related government </w:t>
      </w:r>
      <w:r w:rsidRPr="00877C4B">
        <w:rPr>
          <w:rFonts w:ascii="Times New Roman" w:hAnsi="Times New Roman" w:cs="Times New Roman" w:hint="eastAsia"/>
          <w:color w:val="000000" w:themeColor="text1"/>
        </w:rPr>
        <w:t>TikTok</w:t>
      </w:r>
      <w:r w:rsidRPr="00877C4B">
        <w:rPr>
          <w:rFonts w:ascii="Times New Roman" w:hAnsi="Times New Roman" w:cs="Times New Roman"/>
          <w:color w:val="000000" w:themeColor="text1"/>
        </w:rPr>
        <w:t>.</w:t>
      </w:r>
    </w:p>
    <w:p w14:paraId="6C0D0CC7" w14:textId="77777777" w:rsidR="00274063" w:rsidRPr="00877C4B" w:rsidRDefault="007D4ACE" w:rsidP="00DA4631">
      <w:pPr>
        <w:pStyle w:val="a5"/>
        <w:adjustRightInd w:val="0"/>
        <w:snapToGrid w:val="0"/>
        <w:spacing w:before="0" w:beforeAutospacing="0" w:after="0" w:afterAutospacing="0" w:line="480" w:lineRule="auto"/>
        <w:ind w:firstLineChars="200" w:firstLine="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Therefore, based on the perspective of health narratives and using the TikTok account of the "Shenzhen Health Commission" as an example, this paper employs the </w:t>
      </w:r>
      <w:r w:rsidRPr="00877C4B">
        <w:rPr>
          <w:rFonts w:ascii="Times New Roman" w:hAnsi="Times New Roman" w:cs="Times New Roman" w:hint="eastAsia"/>
          <w:color w:val="000000" w:themeColor="text1"/>
        </w:rPr>
        <w:t>crisp-set Qualitative Comparative Analysis</w:t>
      </w:r>
      <w:r w:rsidRPr="00877C4B">
        <w:rPr>
          <w:rFonts w:ascii="Times New Roman" w:hAnsi="Times New Roman" w:cs="Times New Roman"/>
          <w:color w:val="000000" w:themeColor="text1"/>
        </w:rPr>
        <w:t xml:space="preserve"> (csQCA) method to explore how the health narrative strategies of </w:t>
      </w:r>
      <w:r w:rsidRPr="00877C4B">
        <w:rPr>
          <w:rFonts w:ascii="Times New Roman" w:hAnsi="Times New Roman" w:cs="Times New Roman" w:hint="eastAsia"/>
          <w:color w:val="000000" w:themeColor="text1"/>
        </w:rPr>
        <w:t>government TikTok accounts</w:t>
      </w:r>
      <w:r w:rsidRPr="00877C4B">
        <w:rPr>
          <w:rFonts w:ascii="Times New Roman" w:hAnsi="Times New Roman" w:cs="Times New Roman"/>
          <w:color w:val="000000" w:themeColor="text1"/>
        </w:rPr>
        <w:t xml:space="preserve"> produce linkage effects and the specific effective paths from a configurational perspective. This study aims to provide insights for local </w:t>
      </w:r>
      <w:r w:rsidRPr="00877C4B">
        <w:rPr>
          <w:rFonts w:ascii="Times New Roman" w:hAnsi="Times New Roman" w:cs="Times New Roman" w:hint="eastAsia"/>
          <w:color w:val="000000" w:themeColor="text1"/>
        </w:rPr>
        <w:t>government social media</w:t>
      </w:r>
      <w:r w:rsidRPr="00877C4B">
        <w:rPr>
          <w:rFonts w:ascii="Times New Roman" w:hAnsi="Times New Roman" w:cs="Times New Roman"/>
          <w:color w:val="000000" w:themeColor="text1"/>
        </w:rPr>
        <w:t xml:space="preserve"> health communication practices, help improve the government's ability to construct the meaning of national health, promote scientific health behaviors among the audience, and contribute to the construction and development of a Healthy China.</w:t>
      </w:r>
    </w:p>
    <w:p w14:paraId="4BB023DB" w14:textId="77777777" w:rsidR="00274063" w:rsidRPr="00877C4B" w:rsidRDefault="00274063" w:rsidP="00DA4631">
      <w:pPr>
        <w:pStyle w:val="a5"/>
        <w:adjustRightInd w:val="0"/>
        <w:snapToGrid w:val="0"/>
        <w:spacing w:before="0" w:beforeAutospacing="0" w:after="0" w:afterAutospacing="0" w:line="480" w:lineRule="auto"/>
        <w:jc w:val="both"/>
        <w:rPr>
          <w:rStyle w:val="a7"/>
          <w:rFonts w:ascii="Times New Roman" w:hAnsi="Times New Roman" w:cs="Times New Roman"/>
          <w:color w:val="000000" w:themeColor="text1"/>
        </w:rPr>
      </w:pPr>
    </w:p>
    <w:p w14:paraId="3F5C6240" w14:textId="77777777" w:rsidR="00274063" w:rsidRPr="00877C4B" w:rsidRDefault="007D4ACE" w:rsidP="00DA4631">
      <w:pPr>
        <w:pStyle w:val="a5"/>
        <w:adjustRightInd w:val="0"/>
        <w:snapToGrid w:val="0"/>
        <w:spacing w:before="0" w:beforeAutospacing="0" w:after="0" w:afterAutospacing="0" w:line="480" w:lineRule="auto"/>
        <w:jc w:val="both"/>
        <w:rPr>
          <w:rFonts w:ascii="Times New Roman" w:hAnsi="Times New Roman" w:cs="Times New Roman"/>
          <w:color w:val="000000" w:themeColor="text1"/>
        </w:rPr>
      </w:pPr>
      <w:r w:rsidRPr="00877C4B">
        <w:rPr>
          <w:rStyle w:val="a7"/>
          <w:rFonts w:ascii="Times New Roman" w:hAnsi="Times New Roman" w:cs="Times New Roman"/>
          <w:color w:val="000000" w:themeColor="text1"/>
        </w:rPr>
        <w:t>2. Literature Review and Model Construction</w:t>
      </w:r>
    </w:p>
    <w:p w14:paraId="5631F4FC" w14:textId="77777777" w:rsidR="00274063" w:rsidRPr="00877C4B" w:rsidRDefault="007D4ACE" w:rsidP="00DA4631">
      <w:pPr>
        <w:pStyle w:val="a5"/>
        <w:adjustRightInd w:val="0"/>
        <w:snapToGrid w:val="0"/>
        <w:spacing w:before="0" w:beforeAutospacing="0" w:after="0" w:afterAutospacing="0" w:line="480" w:lineRule="auto"/>
        <w:jc w:val="both"/>
        <w:rPr>
          <w:rFonts w:ascii="Times New Roman" w:hAnsi="Times New Roman" w:cs="Times New Roman"/>
          <w:color w:val="000000" w:themeColor="text1"/>
        </w:rPr>
      </w:pPr>
      <w:r w:rsidRPr="00877C4B">
        <w:rPr>
          <w:rStyle w:val="a7"/>
          <w:rFonts w:ascii="Times New Roman" w:hAnsi="Times New Roman" w:cs="Times New Roman"/>
          <w:i/>
          <w:color w:val="000000" w:themeColor="text1"/>
        </w:rPr>
        <w:t>2.1 Health Narrative</w:t>
      </w:r>
    </w:p>
    <w:p w14:paraId="5590492D" w14:textId="77777777" w:rsidR="00274063" w:rsidRPr="00877C4B" w:rsidRDefault="007D4ACE" w:rsidP="009841C1">
      <w:pPr>
        <w:pStyle w:val="a5"/>
        <w:adjustRightInd w:val="0"/>
        <w:snapToGrid w:val="0"/>
        <w:spacing w:before="0" w:beforeAutospacing="0" w:after="0" w:afterAutospacing="0"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As health communication continues to evolve, narrative has emerged as a critical tool in both health promotion and communication. Narratives serve as vehicles for </w:t>
      </w:r>
      <w:r w:rsidRPr="00877C4B">
        <w:rPr>
          <w:rFonts w:ascii="Times New Roman" w:hAnsi="Times New Roman" w:cs="Times New Roman"/>
          <w:color w:val="000000" w:themeColor="text1"/>
        </w:rPr>
        <w:lastRenderedPageBreak/>
        <w:t xml:space="preserve">conveying information by linking real or fictional events into coherent stories with clear beginnings, middles, and ends. Through detailed character development and scene construction, narratives not only illustrate issues but also actively explore and propose solutions. Narratives allow the public to process information in an easily understandable manner while fostering emotional connections among individuals </w:t>
      </w:r>
      <w:r w:rsidRPr="00877C4B">
        <w:rPr>
          <w:rFonts w:ascii="Times New Roman" w:hAnsi="Times New Roman" w:cs="Times New Roman"/>
          <w:color w:val="000000" w:themeColor="text1"/>
        </w:rPr>
        <w:fldChar w:fldCharType="begin"/>
      </w:r>
      <w:r w:rsidRPr="00877C4B">
        <w:rPr>
          <w:rFonts w:ascii="Times New Roman" w:hAnsi="Times New Roman" w:cs="Times New Roman"/>
          <w:color w:val="000000" w:themeColor="text1"/>
        </w:rPr>
        <w:instrText xml:space="preserve"> ADDIN ZOTERO_ITEM CSL_CITATION {"citationID":"PmxDkEsS","properties":{"formattedCitation":"(Kreuter et al., 2007)","plainCitation":"(Kreuter et al., 2007)","noteIndex":0},"citationItems":[{"id":4265,"uris":["http://zotero.org/users/12189709/items/4CILREMC"],"itemData":{"id":4265,"type":"article-journal","container-title":"Annals of Behavioral Medicine","DOI":"10.1007/BF02879904","ISSN":"0883-6612, 1532-4796","issue":"3","journalAbbreviation":"ann. behav. med.","language":"en","page":"221-235","source":"DOI.org (Crossref)","title":"Narrative communication in cancer prevention and control: A framework to guide research and application","title-short":"Narrative communication in cancer prevention and control","volume":"33","author":[{"family":"Kreuter","given":"Matthew W."},{"family":"Green","given":"Melanie C."},{"family":"Cappella","given":"Joseph N."},{"family":"Slater","given":"Michael D."},{"family":"Wise","given":"Meg E."},{"family":"Storey","given":"Doug"},{"family":"Clark","given":"Eddie M."},{"family":"O’Keefe","given":"Daniel J."},{"family":"Erwin","given":"Deborah O."},{"family":"Holmes","given":"Kathleen"},{"family":"Hinyard","given":"Leslie J."},{"family":"Houston","given":"Thomas"},{"family":"Woolley","given":"Sabra"}],"issued":{"date-parts":[["2007",9]]}}}],"schema":"https://github.com/citation-style-language/schema/raw/master/csl-citation.json"} </w:instrText>
      </w:r>
      <w:r w:rsidRPr="00877C4B">
        <w:rPr>
          <w:rFonts w:ascii="Times New Roman" w:hAnsi="Times New Roman" w:cs="Times New Roman"/>
          <w:color w:val="000000" w:themeColor="text1"/>
        </w:rPr>
        <w:fldChar w:fldCharType="separate"/>
      </w:r>
      <w:r w:rsidRPr="00877C4B">
        <w:rPr>
          <w:rFonts w:ascii="Times New Roman" w:hAnsi="Times New Roman" w:cs="Times New Roman"/>
          <w:color w:val="000000" w:themeColor="text1"/>
        </w:rPr>
        <w:t>(Kreuter et al., 2007)</w:t>
      </w:r>
      <w:r w:rsidRPr="00877C4B">
        <w:rPr>
          <w:rFonts w:ascii="Times New Roman" w:hAnsi="Times New Roman" w:cs="Times New Roman"/>
          <w:color w:val="000000" w:themeColor="text1"/>
        </w:rPr>
        <w:fldChar w:fldCharType="end"/>
      </w:r>
      <w:r w:rsidRPr="00877C4B">
        <w:rPr>
          <w:rFonts w:ascii="Times New Roman" w:hAnsi="Times New Roman" w:cs="Times New Roman"/>
          <w:color w:val="000000" w:themeColor="text1"/>
        </w:rPr>
        <w:t>.</w:t>
      </w:r>
    </w:p>
    <w:p w14:paraId="1B543730" w14:textId="77777777" w:rsidR="00274063" w:rsidRPr="00877C4B" w:rsidRDefault="007D4ACE" w:rsidP="00DA4631">
      <w:pPr>
        <w:pStyle w:val="a5"/>
        <w:adjustRightInd w:val="0"/>
        <w:snapToGrid w:val="0"/>
        <w:spacing w:before="0" w:beforeAutospacing="0" w:after="0" w:afterAutospacing="0" w:line="480" w:lineRule="auto"/>
        <w:ind w:firstLineChars="200" w:firstLine="480"/>
        <w:jc w:val="both"/>
        <w:rPr>
          <w:rFonts w:ascii="Times New Roman" w:hAnsi="Times New Roman" w:cs="Times New Roman"/>
          <w:color w:val="000000" w:themeColor="text1"/>
        </w:rPr>
      </w:pPr>
      <w:r w:rsidRPr="00877C4B">
        <w:rPr>
          <w:rFonts w:ascii="Times New Roman" w:hAnsi="Times New Roman" w:cs="Times New Roman"/>
          <w:color w:val="000000" w:themeColor="text1"/>
        </w:rPr>
        <w:t>Narrative Transportation Theory explains the psychological mechanisms underlying the effects of narratives. Narrative transportation is defined as the process through which an audience becomes immersed in a narrative, requiring focused attention, imagination, and emotional engagement, as well as an understanding of the characters and plot within the story. As narrative transportation intensifies, the psychological distance between the audience and the narrative object decreases, resulting in increased empathy and identification.</w:t>
      </w:r>
    </w:p>
    <w:p w14:paraId="08D5FF3D" w14:textId="77777777" w:rsidR="00274063" w:rsidRPr="00877C4B" w:rsidRDefault="007D4ACE" w:rsidP="00DA4631">
      <w:pPr>
        <w:pStyle w:val="a5"/>
        <w:adjustRightInd w:val="0"/>
        <w:snapToGrid w:val="0"/>
        <w:spacing w:before="0" w:beforeAutospacing="0" w:after="0" w:afterAutospacing="0" w:line="480" w:lineRule="auto"/>
        <w:ind w:firstLineChars="200" w:firstLine="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Existing research has confirmed that narratives are more effective than non-narrative formats in influencing health-related attitudes, intentions, and behaviors </w:t>
      </w:r>
      <w:r w:rsidRPr="00877C4B">
        <w:rPr>
          <w:rFonts w:ascii="Times New Roman" w:hAnsi="Times New Roman" w:cs="Times New Roman"/>
          <w:color w:val="000000" w:themeColor="text1"/>
        </w:rPr>
        <w:fldChar w:fldCharType="begin"/>
      </w:r>
      <w:r w:rsidRPr="00877C4B">
        <w:rPr>
          <w:rFonts w:ascii="Times New Roman" w:hAnsi="Times New Roman" w:cs="Times New Roman"/>
          <w:color w:val="000000" w:themeColor="text1"/>
        </w:rPr>
        <w:instrText xml:space="preserve"> ADDIN ZOTERO_ITEM CSL_CITATION {"citationID":"AWzzn2sW","properties":{"formattedCitation":"(Lewis &amp; Sznitman, 2017)","plainCitation":"(Lewis &amp; Sznitman, 2017)","noteIndex":0},"citationItems":[{"id":4720,"uris":["http://zotero.org/users/12189709/items/YMHANQ7D"],"itemData":{"id":4720,"type":"article-journal","container-title":"Journal of Communication","DOI":"10.1111/jcom.12287","ISSN":"00219916","issue":"2","journalAbbreviation":"J Commun","language":"en","license":"http://doi.wiley.com/10.1002/tdm_license_1","note":"TLDR: Results show that Narrative-formatted videos produced more favorable attitudes toward medical cannabis, compared with nonnarrative videos, and effects of narratives on attitudes were mediated through transportation and identification with the protagonist.","page":"181-202","source":"DOI.org (Crossref)","title":"You Brought it on Yourself: The Joint Effects of Message Type, Stigma, and Responsibility Attribution on Attitudes Toward Medical Cannabis: Narratives and Medical Cannabis Policy","title-short":"You Brought it on Yourself","volume":"67","author":[{"family":"Lewis","given":"Nehama"},{"family":"Sznitman","given":"Sharon R."}],"issued":{"date-parts":[["2017",4]]}}}],"schema":"https://github.com/citation-style-language/schema/raw/master/csl-citation.json"} </w:instrText>
      </w:r>
      <w:r w:rsidRPr="00877C4B">
        <w:rPr>
          <w:rFonts w:ascii="Times New Roman" w:hAnsi="Times New Roman" w:cs="Times New Roman"/>
          <w:color w:val="000000" w:themeColor="text1"/>
        </w:rPr>
        <w:fldChar w:fldCharType="separate"/>
      </w:r>
      <w:r w:rsidRPr="00877C4B">
        <w:rPr>
          <w:rFonts w:ascii="Times New Roman" w:hAnsi="Times New Roman" w:cs="Times New Roman"/>
          <w:color w:val="000000" w:themeColor="text1"/>
        </w:rPr>
        <w:t>(Lewis &amp; Sznitman, 2017)</w:t>
      </w:r>
      <w:r w:rsidRPr="00877C4B">
        <w:rPr>
          <w:rFonts w:ascii="Times New Roman" w:hAnsi="Times New Roman" w:cs="Times New Roman"/>
          <w:color w:val="000000" w:themeColor="text1"/>
        </w:rPr>
        <w:fldChar w:fldCharType="end"/>
      </w:r>
      <w:r w:rsidRPr="00877C4B">
        <w:rPr>
          <w:rFonts w:ascii="Times New Roman" w:hAnsi="Times New Roman" w:cs="Times New Roman"/>
          <w:color w:val="000000" w:themeColor="text1"/>
        </w:rPr>
        <w:t>. This is because narratives help audiences better understand medical knowledge, foster positive attitudes, and enhance the intention to share health information.</w:t>
      </w:r>
    </w:p>
    <w:p w14:paraId="14AD6FA0" w14:textId="77777777" w:rsidR="00274063" w:rsidRPr="00877C4B" w:rsidRDefault="007D4ACE" w:rsidP="00DA4631">
      <w:pPr>
        <w:pStyle w:val="a5"/>
        <w:adjustRightInd w:val="0"/>
        <w:snapToGrid w:val="0"/>
        <w:spacing w:before="0" w:beforeAutospacing="0" w:after="0" w:afterAutospacing="0" w:line="480" w:lineRule="auto"/>
        <w:jc w:val="both"/>
        <w:rPr>
          <w:rFonts w:ascii="Times New Roman" w:hAnsi="Times New Roman" w:cs="Times New Roman"/>
          <w:color w:val="000000" w:themeColor="text1"/>
        </w:rPr>
      </w:pPr>
      <w:r w:rsidRPr="00877C4B">
        <w:rPr>
          <w:rStyle w:val="a7"/>
          <w:rFonts w:ascii="Times New Roman" w:hAnsi="Times New Roman" w:cs="Times New Roman"/>
          <w:i/>
          <w:color w:val="000000" w:themeColor="text1"/>
        </w:rPr>
        <w:t>2.2 Influencing Factors of Health Narrative Effectiveness</w:t>
      </w:r>
    </w:p>
    <w:p w14:paraId="5CA003E5" w14:textId="77777777" w:rsidR="00274063" w:rsidRPr="00877C4B" w:rsidRDefault="007D4ACE" w:rsidP="009841C1">
      <w:pPr>
        <w:pStyle w:val="a5"/>
        <w:adjustRightInd w:val="0"/>
        <w:snapToGrid w:val="0"/>
        <w:spacing w:before="0" w:beforeAutospacing="0" w:after="0" w:afterAutospacing="0"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In health communication, variables in different narrative elements can have varying impacts on communication outcomes. De Graaf et al. conducted a review of health narrative effects, categorizing these influencing factors into three types: first, narrative content, including similarity, attribution of responsibility, and so on; second, narrative form, encompassing media, perspective, and the authenticity of information; third, narrative context, a key variable that has not yet been comprehensively and deeply validated, with some ambiguity in its boundary definition </w:t>
      </w:r>
      <w:r w:rsidRPr="00877C4B">
        <w:rPr>
          <w:rFonts w:ascii="Times New Roman" w:hAnsi="Times New Roman" w:cs="Times New Roman"/>
          <w:color w:val="000000" w:themeColor="text1"/>
        </w:rPr>
        <w:fldChar w:fldCharType="begin"/>
      </w:r>
      <w:r w:rsidRPr="00877C4B">
        <w:rPr>
          <w:rFonts w:ascii="Times New Roman" w:hAnsi="Times New Roman" w:cs="Times New Roman"/>
          <w:color w:val="000000" w:themeColor="text1"/>
        </w:rPr>
        <w:instrText xml:space="preserve"> ADDIN ZOTERO_ITEM CSL_CITATION {"citationID":"h9by7oia","properties":{"formattedCitation":"(De Graaf et al., 2016)","plainCitation":"(De Graaf et al., 2016)","noteIndex":0},"citationItems":[{"id":2823,"uris":["http://zotero.org/users/12189709/items/SKTRTCLH"],"itemData":{"id":2823,"type":"article-journal","abstract":"METHOD...........................................................................................................92 Search Strategy ................................................................................................92 Selection Criteria..............................................................................................93 Review Strategy................................................................................................94\nRESULTS ...........................................................................................................94 Comparing Narratives to Control Conditions .....................................................94 Beliefs and attitudes. .....................................................................................95 Intention. .....................................................................................................95 Behavior. ...................................................................................................... 96 Final observations on comparing narratives to control conditions. ...................96 Comparing Different Versions of Narratives: Content .........................................97 Similarity. ....................................................................................................97 Framing. ......................................................................................................97 Emotional outcomes. ....................................................................................98 Final observations on content. ......................................................................98 Comparing Different Versions of Narratives: Form .............................................99 Medium. ......................................................................................................99 Perspective. ..................................................................................................99 Message embedding. .....................................................................................99 Final observations on form. ........................................................................ 100 Comparing Different Versions of Narratives: Context ....................................... 100\nCONCLUSION AND DISCUSSION ................................................................. 100 REFERENCES ................................................................................................. 103 TABLES ........................................................................................................... 113 COPYRIGHTS AND REPOSITORIES .............................................................. 131","container-title":"Review of Communication Research","DOI":"10.12840/issn.2255-4165.2016.04.01.011","ISSN":"22554165","journalAbbreviation":"RCR","language":"en","page":"88-131","source":"DOI.org (Crossref)","title":"Characteristics of narrative interventions and health effects: A review of the content, form, and context of narratives in health-related narrative persuasion research","title-short":"Characteristics of narrative interventions and health effects","volume":"4","author":[{"family":"De Graaf","given":"Anneke"},{"family":"Sanders","given":"José"},{"family":"Hoeken","given":"Hans"}],"issued":{"date-parts":[["2016"]]}}}],"schema":"https://github.com/citation-style-language/schema/raw/master/csl-citation.json"} </w:instrText>
      </w:r>
      <w:r w:rsidRPr="00877C4B">
        <w:rPr>
          <w:rFonts w:ascii="Times New Roman" w:hAnsi="Times New Roman" w:cs="Times New Roman"/>
          <w:color w:val="000000" w:themeColor="text1"/>
        </w:rPr>
        <w:fldChar w:fldCharType="separate"/>
      </w:r>
      <w:r w:rsidRPr="00877C4B">
        <w:rPr>
          <w:rFonts w:ascii="Times New Roman" w:hAnsi="Times New Roman" w:cs="Times New Roman"/>
          <w:color w:val="000000" w:themeColor="text1"/>
        </w:rPr>
        <w:t>(De Graaf et al., 2016)</w:t>
      </w:r>
      <w:r w:rsidRPr="00877C4B">
        <w:rPr>
          <w:rFonts w:ascii="Times New Roman" w:hAnsi="Times New Roman" w:cs="Times New Roman"/>
          <w:color w:val="000000" w:themeColor="text1"/>
        </w:rPr>
        <w:fldChar w:fldCharType="end"/>
      </w:r>
      <w:r w:rsidRPr="00877C4B">
        <w:rPr>
          <w:rFonts w:ascii="Times New Roman" w:hAnsi="Times New Roman" w:cs="Times New Roman"/>
          <w:color w:val="000000" w:themeColor="text1"/>
        </w:rPr>
        <w:t xml:space="preserve">. Based </w:t>
      </w:r>
      <w:r w:rsidRPr="00877C4B">
        <w:rPr>
          <w:rFonts w:ascii="Times New Roman" w:hAnsi="Times New Roman" w:cs="Times New Roman"/>
          <w:color w:val="000000" w:themeColor="text1"/>
        </w:rPr>
        <w:lastRenderedPageBreak/>
        <w:t>on a review and synthesis of existing research, this paper proposes a new framework consisting of four dimensions—narrative content, narrative form, narrative agents, and narrative audiovisual language—grounded in the core elements of narrative.</w:t>
      </w:r>
    </w:p>
    <w:p w14:paraId="01C25FEE" w14:textId="77777777" w:rsidR="00274063" w:rsidRPr="00877C4B" w:rsidRDefault="007D4ACE" w:rsidP="00DA4631">
      <w:pPr>
        <w:pStyle w:val="a5"/>
        <w:adjustRightInd w:val="0"/>
        <w:snapToGrid w:val="0"/>
        <w:spacing w:before="0" w:beforeAutospacing="0" w:after="0" w:afterAutospacing="0" w:line="480" w:lineRule="auto"/>
        <w:jc w:val="both"/>
        <w:rPr>
          <w:rFonts w:ascii="Times New Roman" w:hAnsi="Times New Roman" w:cs="Times New Roman"/>
          <w:color w:val="000000" w:themeColor="text1"/>
        </w:rPr>
      </w:pPr>
      <w:r w:rsidRPr="00877C4B">
        <w:rPr>
          <w:rStyle w:val="a7"/>
          <w:rFonts w:ascii="Times New Roman" w:hAnsi="Times New Roman" w:cs="Times New Roman"/>
          <w:b w:val="0"/>
          <w:i/>
          <w:color w:val="000000" w:themeColor="text1"/>
        </w:rPr>
        <w:t>2.2.1 Narrative Content</w:t>
      </w:r>
    </w:p>
    <w:p w14:paraId="18E6EAFB" w14:textId="77777777" w:rsidR="00274063" w:rsidRPr="00877C4B" w:rsidRDefault="007D4ACE" w:rsidP="00DA4631">
      <w:pPr>
        <w:pStyle w:val="a5"/>
        <w:adjustRightInd w:val="0"/>
        <w:snapToGrid w:val="0"/>
        <w:spacing w:before="0" w:beforeAutospacing="0" w:after="0" w:afterAutospacing="0" w:line="480" w:lineRule="auto"/>
        <w:jc w:val="both"/>
        <w:rPr>
          <w:rFonts w:ascii="Times New Roman" w:hAnsi="Times New Roman" w:cs="Times New Roman"/>
          <w:color w:val="000000" w:themeColor="text1"/>
        </w:rPr>
      </w:pPr>
      <w:r w:rsidRPr="00877C4B">
        <w:rPr>
          <w:rStyle w:val="apple-converted-space"/>
          <w:rFonts w:ascii="Times New Roman" w:hAnsi="Times New Roman" w:cs="Times New Roman"/>
          <w:i/>
          <w:color w:val="000000" w:themeColor="text1"/>
        </w:rPr>
        <w:t>2.2.1.1</w:t>
      </w:r>
      <w:r w:rsidRPr="00877C4B">
        <w:rPr>
          <w:rStyle w:val="apple-converted-space"/>
          <w:rFonts w:ascii="Times New Roman" w:hAnsi="Times New Roman" w:cs="Times New Roman"/>
          <w:b/>
          <w:i/>
          <w:color w:val="000000" w:themeColor="text1"/>
        </w:rPr>
        <w:t> </w:t>
      </w:r>
      <w:r w:rsidRPr="00877C4B">
        <w:rPr>
          <w:rStyle w:val="a7"/>
          <w:rFonts w:ascii="Times New Roman" w:hAnsi="Times New Roman" w:cs="Times New Roman"/>
          <w:b w:val="0"/>
          <w:i/>
          <w:color w:val="000000" w:themeColor="text1"/>
        </w:rPr>
        <w:t>Knowledge Cues</w:t>
      </w:r>
      <w:r w:rsidRPr="00877C4B">
        <w:rPr>
          <w:rFonts w:ascii="Times New Roman" w:hAnsi="Times New Roman" w:cs="Times New Roman"/>
          <w:color w:val="000000" w:themeColor="text1"/>
        </w:rPr>
        <w:t>. Knowledge cues aim to transform scientific and technical health information into engaging, accessible content through effective communication strategies. Carefully crafted government health short videos not only disseminate essential healthcare knowledge and treatment methods but also embed valuable experiential health wisdom into daily life, providing the public with comprehensive health guidance. Knowledge cues may encompass various content types, including the introduction of healthcare knowledge, explanations of treatment methods, public education on healthcare, and the promotion of information from government health institutions. This content is vital for the audience as it offers practical strategies and resources for implementing healthy behaviors to achieve health-related goals.</w:t>
      </w:r>
    </w:p>
    <w:p w14:paraId="6DD15788" w14:textId="77777777" w:rsidR="00274063" w:rsidRPr="00877C4B" w:rsidRDefault="007D4ACE" w:rsidP="00DA4631">
      <w:pPr>
        <w:pStyle w:val="a5"/>
        <w:adjustRightInd w:val="0"/>
        <w:snapToGrid w:val="0"/>
        <w:spacing w:before="0" w:beforeAutospacing="0" w:after="0" w:afterAutospacing="0" w:line="480" w:lineRule="auto"/>
        <w:ind w:firstLineChars="200" w:firstLine="480"/>
        <w:jc w:val="both"/>
        <w:rPr>
          <w:rFonts w:ascii="Times New Roman" w:hAnsi="Times New Roman" w:cs="Times New Roman"/>
          <w:color w:val="000000" w:themeColor="text1"/>
        </w:rPr>
      </w:pPr>
      <w:r w:rsidRPr="00877C4B">
        <w:rPr>
          <w:rFonts w:ascii="Times New Roman" w:hAnsi="Times New Roman" w:cs="Times New Roman"/>
          <w:color w:val="000000" w:themeColor="text1"/>
        </w:rPr>
        <w:t>Health narratives built on knowledge cues serve not only to apply specialized expertise in reporting public health issues but also to shape and encourage public participation in social health initiatives. Whether addressing physiological topics such as disease education and healthcare or sociological aspects like healthcare systems, public health, and doctor-patient relationships, it is crucial to provide professional, scientific descriptions and evaluations centered around specific health knowledge cues. By offering such knowledge cues, the depth and breadth of health information are enriched, ranging from phenomena to context and from specialized content to everyday practices, thereby expanding the target audience and subjects of health communication. Thus, this study categorizes knowledge cues into two dimensions: the presence or absence of knowledge cues.</w:t>
      </w:r>
    </w:p>
    <w:p w14:paraId="1317DDAB" w14:textId="77777777" w:rsidR="00274063" w:rsidRPr="00877C4B" w:rsidRDefault="007D4ACE" w:rsidP="00DA4631">
      <w:pPr>
        <w:pStyle w:val="a5"/>
        <w:adjustRightInd w:val="0"/>
        <w:snapToGrid w:val="0"/>
        <w:spacing w:before="0" w:beforeAutospacing="0" w:after="0" w:afterAutospacing="0" w:line="480" w:lineRule="auto"/>
        <w:jc w:val="both"/>
        <w:rPr>
          <w:rFonts w:ascii="Times New Roman" w:hAnsi="Times New Roman" w:cs="Times New Roman"/>
          <w:color w:val="000000" w:themeColor="text1"/>
        </w:rPr>
      </w:pPr>
      <w:r w:rsidRPr="00877C4B">
        <w:rPr>
          <w:rStyle w:val="apple-converted-space"/>
          <w:rFonts w:ascii="Times New Roman" w:hAnsi="Times New Roman" w:cs="Times New Roman"/>
          <w:i/>
          <w:color w:val="000000" w:themeColor="text1"/>
        </w:rPr>
        <w:lastRenderedPageBreak/>
        <w:t xml:space="preserve">2.2.1.2 </w:t>
      </w:r>
      <w:r w:rsidRPr="00877C4B">
        <w:rPr>
          <w:rStyle w:val="apple-converted-space"/>
          <w:rFonts w:ascii="Times New Roman" w:hAnsi="Times New Roman" w:cs="Times New Roman"/>
          <w:bCs/>
          <w:i/>
          <w:color w:val="000000" w:themeColor="text1"/>
        </w:rPr>
        <w:t>Belief Cues.</w:t>
      </w:r>
      <w:r w:rsidRPr="00877C4B">
        <w:rPr>
          <w:rFonts w:ascii="Times New Roman" w:hAnsi="Times New Roman" w:cs="Times New Roman"/>
          <w:color w:val="000000" w:themeColor="text1"/>
        </w:rPr>
        <w:t xml:space="preserve"> Belief cues focus on enhancing the public's confidence and efficacy in adopting healthy behaviors by providing clear, actionable plans. The objective is to instill in the public the belief that they can effectively implement healthy behaviors and trust in their efficacy. Through belief cues, health communicators can offer concrete steps and guidance to help the public engage in positive health behaviors.</w:t>
      </w:r>
    </w:p>
    <w:p w14:paraId="159F93E8" w14:textId="77777777" w:rsidR="00274063" w:rsidRPr="00877C4B" w:rsidRDefault="007D4ACE" w:rsidP="00DA4631">
      <w:pPr>
        <w:pStyle w:val="a5"/>
        <w:adjustRightInd w:val="0"/>
        <w:snapToGrid w:val="0"/>
        <w:spacing w:before="0" w:beforeAutospacing="0" w:after="0" w:afterAutospacing="0" w:line="480" w:lineRule="auto"/>
        <w:ind w:firstLineChars="200" w:firstLine="480"/>
        <w:jc w:val="both"/>
        <w:rPr>
          <w:rFonts w:ascii="Times New Roman" w:hAnsi="Times New Roman" w:cs="Times New Roman"/>
          <w:color w:val="000000" w:themeColor="text1"/>
        </w:rPr>
      </w:pPr>
      <w:r w:rsidRPr="00877C4B">
        <w:rPr>
          <w:rFonts w:ascii="Times New Roman" w:hAnsi="Times New Roman" w:cs="Times New Roman"/>
          <w:color w:val="000000" w:themeColor="text1"/>
        </w:rPr>
        <w:t>A commonly used strategy in health communication is the fear appeal, which elicits fear by presenting threatening information to encourage the adoption of healthy behaviors. The Extended Parallel Process Model (EPPM) explains the public's psychological responses to fear appeal messages. According to the EPPM, upon perceiving a threat, individuals evaluate the severity of the threat, their susceptibility to it, and their ability to implement coping measures. If the public perceives that they can successfully implement these measures, they are more likely to adopt the suggested healthy behaviors. Consequently, this study classifies belief cues into two categories: the presence or absence of belief cues.</w:t>
      </w:r>
    </w:p>
    <w:p w14:paraId="25F9FA42" w14:textId="77777777" w:rsidR="00274063" w:rsidRPr="00877C4B" w:rsidRDefault="007D4ACE" w:rsidP="00DA4631">
      <w:pPr>
        <w:pStyle w:val="a5"/>
        <w:adjustRightInd w:val="0"/>
        <w:snapToGrid w:val="0"/>
        <w:spacing w:before="0" w:beforeAutospacing="0" w:after="0" w:afterAutospacing="0" w:line="480" w:lineRule="auto"/>
        <w:jc w:val="both"/>
        <w:rPr>
          <w:rFonts w:ascii="Times New Roman" w:hAnsi="Times New Roman" w:cs="Times New Roman"/>
          <w:color w:val="000000" w:themeColor="text1"/>
        </w:rPr>
      </w:pPr>
      <w:r w:rsidRPr="00877C4B">
        <w:rPr>
          <w:rStyle w:val="apple-converted-space"/>
          <w:rFonts w:ascii="Times New Roman" w:hAnsi="Times New Roman" w:cs="Times New Roman"/>
          <w:i/>
          <w:color w:val="000000" w:themeColor="text1"/>
        </w:rPr>
        <w:t xml:space="preserve">2.2.1.3 </w:t>
      </w:r>
      <w:r w:rsidRPr="00877C4B">
        <w:rPr>
          <w:rStyle w:val="apple-converted-space"/>
          <w:rFonts w:ascii="Times New Roman" w:hAnsi="Times New Roman" w:cs="Times New Roman"/>
          <w:bCs/>
          <w:i/>
          <w:color w:val="000000" w:themeColor="text1"/>
        </w:rPr>
        <w:t>Action Cues.</w:t>
      </w:r>
      <w:r w:rsidRPr="00877C4B">
        <w:rPr>
          <w:rStyle w:val="apple-converted-space"/>
          <w:rFonts w:ascii="Times New Roman" w:hAnsi="Times New Roman" w:cs="Times New Roman"/>
          <w:i/>
          <w:color w:val="000000" w:themeColor="text1"/>
        </w:rPr>
        <w:t xml:space="preserve"> </w:t>
      </w:r>
      <w:r w:rsidRPr="00877C4B">
        <w:rPr>
          <w:rFonts w:ascii="Times New Roman" w:hAnsi="Times New Roman" w:cs="Times New Roman"/>
          <w:color w:val="000000" w:themeColor="text1"/>
        </w:rPr>
        <w:t>Action cues clarify actionable communication plans, provide practical guidance, foster collaboration, and motivate individuals to adopt health-positive behaviors. They also promote the development and implementation of policies conducive to a healthy lifestyle. The core of action cues lies in mobilizing the audience to "take action." Confidence in the ability to follow these recommended actions is crucial for encouraging the audience to act.</w:t>
      </w:r>
    </w:p>
    <w:p w14:paraId="02027AB1" w14:textId="77777777" w:rsidR="00274063" w:rsidRPr="00877C4B" w:rsidRDefault="007D4ACE" w:rsidP="00DA4631">
      <w:pPr>
        <w:pStyle w:val="a5"/>
        <w:adjustRightInd w:val="0"/>
        <w:snapToGrid w:val="0"/>
        <w:spacing w:before="0" w:beforeAutospacing="0" w:after="0" w:afterAutospacing="0" w:line="480" w:lineRule="auto"/>
        <w:ind w:firstLineChars="200" w:firstLine="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By offering action cues, communicators guide the public in developing healthy thought patterns and lifestyle habits, thereby promoting behavior change through collective engagement. Action-oriented narratives should not only suggest what to do but also provide clear guidance on how to do it, disseminate information that encourages specific actions, and further promote healthy behaviors. Practical guidance enhances confidence and willingness to act by providing specific health prevention </w:t>
      </w:r>
      <w:r w:rsidRPr="00877C4B">
        <w:rPr>
          <w:rFonts w:ascii="Times New Roman" w:hAnsi="Times New Roman" w:cs="Times New Roman"/>
          <w:color w:val="000000" w:themeColor="text1"/>
        </w:rPr>
        <w:lastRenderedPageBreak/>
        <w:t xml:space="preserve">steps or showcasing role models who successfully implement healthy behaviors </w:t>
      </w:r>
      <w:r w:rsidRPr="00877C4B">
        <w:rPr>
          <w:rFonts w:ascii="Times New Roman" w:hAnsi="Times New Roman" w:cs="Times New Roman"/>
          <w:color w:val="000000" w:themeColor="text1"/>
        </w:rPr>
        <w:fldChar w:fldCharType="begin"/>
      </w:r>
      <w:r w:rsidRPr="00877C4B">
        <w:rPr>
          <w:rFonts w:ascii="Times New Roman" w:hAnsi="Times New Roman" w:cs="Times New Roman"/>
          <w:color w:val="000000" w:themeColor="text1"/>
        </w:rPr>
        <w:instrText xml:space="preserve"> ADDIN ZOTERO_ITEM CSL_CITATION {"citationID":"IfV97slt","properties":{"formattedCitation":"(Jiang et al., 2024)","plainCitation":"(Jiang et al., 2024)","noteIndex":0},"citationItems":[{"id":1835,"uris":["http://zotero.org/users/12189709/items/IAPDLAD6"],"itemData":{"id":1835,"type":"article-journal","abstract":"Social media have become an important platform for health promotion. Based on the InformationCommunity-Action Framework, we conducted a content analysis of 1,481 Facebook postings by Singapore’s Health Promotion Board. Results showed that organizational information and health benefit information dissemination were positively associated with online audience engagement. Also, organization-audience interaction had a positive relationship with online audience engagement. In addition, messages that help build confidence for health behavior change increased online audience engagement. In addition to these main effects, organization-audience interaction also played a moderating role that strengthened the effects of information dissemination and action confidence building on online audience engagement. This study offers important theoretical contributions to the Information-Community-Action Framework and has practical implications for enhancing the effectiveness of health promotion in this digital era.","container-title":"Health Communication","DOI":"10.1080/10410236.2022.2150809","ISSN":"1041-0236, 1532-7027","issue":"1","journalAbbreviation":"Health Communication","language":"en","page":"4-14","source":"DOI.org (Crossref)","title":"Social Media Health Promotion and Audience Engagement: The Roles of Information Dissemination, Organization-Audience Interaction, and Action Confidence Building","title-short":"Social Media Health Promotion and Audience Engagement","volume":"39","author":[{"family":"Jiang","given":"Shaohai"},{"family":"Tay","given":"Janice"},{"family":"Ngien","given":"Annabel"},{"family":"Basnyat","given":"Iccha"}],"issued":{"date-parts":[["2024",1,2]]}}}],"schema":"https://github.com/citation-style-language/schema/raw/master/csl-citation.json"} </w:instrText>
      </w:r>
      <w:r w:rsidRPr="00877C4B">
        <w:rPr>
          <w:rFonts w:ascii="Times New Roman" w:hAnsi="Times New Roman" w:cs="Times New Roman"/>
          <w:color w:val="000000" w:themeColor="text1"/>
        </w:rPr>
        <w:fldChar w:fldCharType="separate"/>
      </w:r>
      <w:r w:rsidRPr="00877C4B">
        <w:rPr>
          <w:rFonts w:ascii="Times New Roman" w:hAnsi="Times New Roman" w:cs="Times New Roman"/>
          <w:color w:val="000000" w:themeColor="text1"/>
        </w:rPr>
        <w:t>(Jiang et al., 2024)</w:t>
      </w:r>
      <w:r w:rsidRPr="00877C4B">
        <w:rPr>
          <w:rFonts w:ascii="Times New Roman" w:hAnsi="Times New Roman" w:cs="Times New Roman"/>
          <w:color w:val="000000" w:themeColor="text1"/>
        </w:rPr>
        <w:fldChar w:fldCharType="end"/>
      </w:r>
      <w:r w:rsidRPr="00877C4B">
        <w:rPr>
          <w:rFonts w:ascii="Times New Roman" w:hAnsi="Times New Roman" w:cs="Times New Roman"/>
          <w:color w:val="000000" w:themeColor="text1"/>
        </w:rPr>
        <w:t>.. Consequently, this study classifies action cues into two dimensions: whether or not action cues are provided.</w:t>
      </w:r>
    </w:p>
    <w:p w14:paraId="34297B12" w14:textId="77777777" w:rsidR="00274063" w:rsidRPr="00877C4B" w:rsidRDefault="007D4ACE" w:rsidP="00DA4631">
      <w:pPr>
        <w:pStyle w:val="a5"/>
        <w:adjustRightInd w:val="0"/>
        <w:snapToGrid w:val="0"/>
        <w:spacing w:before="0" w:beforeAutospacing="0" w:after="0" w:afterAutospacing="0" w:line="480" w:lineRule="auto"/>
        <w:jc w:val="both"/>
        <w:rPr>
          <w:rFonts w:ascii="Times New Roman" w:hAnsi="Times New Roman" w:cs="Times New Roman"/>
          <w:color w:val="000000" w:themeColor="text1"/>
        </w:rPr>
      </w:pPr>
      <w:r w:rsidRPr="00877C4B">
        <w:rPr>
          <w:rStyle w:val="a7"/>
          <w:rFonts w:ascii="Times New Roman" w:hAnsi="Times New Roman" w:cs="Times New Roman"/>
          <w:b w:val="0"/>
          <w:i/>
          <w:color w:val="000000" w:themeColor="text1"/>
        </w:rPr>
        <w:t>2.2.2 Narrative Form</w:t>
      </w:r>
      <w:r w:rsidRPr="00877C4B">
        <w:rPr>
          <w:rFonts w:ascii="Times New Roman" w:hAnsi="Times New Roman" w:cs="Times New Roman"/>
          <w:color w:val="000000" w:themeColor="text1"/>
        </w:rPr>
        <w:br/>
      </w:r>
      <w:r w:rsidRPr="00877C4B">
        <w:rPr>
          <w:rStyle w:val="apple-converted-space"/>
          <w:rFonts w:ascii="Times New Roman" w:hAnsi="Times New Roman" w:cs="Times New Roman"/>
          <w:i/>
          <w:color w:val="000000" w:themeColor="text1"/>
        </w:rPr>
        <w:t xml:space="preserve">2.2.2.1 </w:t>
      </w:r>
      <w:r w:rsidRPr="00877C4B">
        <w:rPr>
          <w:rStyle w:val="apple-converted-space"/>
          <w:rFonts w:ascii="Times New Roman" w:hAnsi="Times New Roman" w:cs="Times New Roman"/>
          <w:bCs/>
          <w:i/>
          <w:color w:val="000000" w:themeColor="text1"/>
        </w:rPr>
        <w:t>Narrative Perspective</w:t>
      </w:r>
      <w:r w:rsidRPr="00877C4B">
        <w:rPr>
          <w:rFonts w:ascii="Times New Roman" w:hAnsi="Times New Roman" w:cs="Times New Roman"/>
          <w:color w:val="000000" w:themeColor="text1"/>
        </w:rPr>
        <w:t xml:space="preserve">. Narrative perspective typically involves the use of character names or personal pronouns, including the first-person (I), second-person (you), and third-person (he/she). The choice of narrative perspective is often considered to influence the audience's experience. First-person or third-person narrative perspectives are key factors in shaping narrative outcomes. In health-related narratives, the use of the first-person perspective, employing "I" or "my," tells a personal story about the self, promoting an internal, vicarious experience where the audience may connect with the character's life from an internal viewpoint. In contrast, third-person narratives, told from an observer's perspective using pronouns such as "he/she," "they/them," or "their," offer an external viewpoint, leading the audience to more objectively observe the character's experience </w:t>
      </w:r>
      <w:r w:rsidRPr="00877C4B">
        <w:rPr>
          <w:rFonts w:ascii="Times New Roman" w:hAnsi="Times New Roman" w:cs="Times New Roman"/>
          <w:color w:val="000000" w:themeColor="text1"/>
        </w:rPr>
        <w:fldChar w:fldCharType="begin"/>
      </w:r>
      <w:r w:rsidRPr="00877C4B">
        <w:rPr>
          <w:rFonts w:ascii="Times New Roman" w:hAnsi="Times New Roman" w:cs="Times New Roman"/>
          <w:color w:val="000000" w:themeColor="text1"/>
        </w:rPr>
        <w:instrText xml:space="preserve"> ADDIN ZOTERO_ITEM CSL_CITATION {"citationID":"7ipD8PHG","properties":{"formattedCitation":"(Klauk et al., 2012)","plainCitation":"(Klauk et al., 2012)","noteIndex":0},"citationItems":[{"id":4721,"uris":["http://zotero.org/users/12189709/items/3HM44CTE"],"itemData":{"id":4721,"type":"article-journal","abstract":"Most definitions of the narratological notion of internal focalization are cast in terms of what the text represents, namely some character and her point of view. In being thus couched in representational terms, definitions of internal focalization do not mention any linguistic surface properties of the respective text. In this paper, we search for a way to specify the relation between linguistic surface properties and internal focalization. We start by giving a standard narratological account of internal focalization that is fully couched in representational terms. In the next section, we develop a brief but precise theory of linguistic perspective that operates on the text surface. This theory and our linguistic take on internal focalization then rest on the idea of shifted indexical expressions. Our account makes a clear empirical prediction in claiming that the interpretation of an internally focalized sentence will contain variables which will all be bound by the perspective holder. We thus conclude that internal focalization implies linguistic perspective in the sense that the focal character is always the linguistic perspective holder. Hence, our account states a necessary condition for internal focalization in linguistic terms.","container-title":"Scientific Study of Literature","DOI":"10.1075/ssol.2.2.03kla","ISSN":"2210-4372, 2210-4380","issue":"2","journalAbbreviation":"SSOL","language":"en","note":"TLDR: The account makes a clear empirical prediction in claiming that the interpretation of an internally focalized sentence will contain variables which will all be bound by the perspective holder, and concludes that internal focalization implies linguistic perspective in the sense that the focal character is always the linguistic perspective holder.","page":"218-242","source":"DOI.org (Crossref)","title":"Internally focalized narration from a linguistic point of view","volume":"2","author":[{"family":"Klauk","given":"Tobias"},{"family":"Köppe","given":"Tilmann"},{"family":"Onea","given":"Edgar"}],"issued":{"date-parts":[["2012",12,31]]}}}],"schema":"https://github.com/citation-style-language/schema/raw/master/csl-citation.json"} </w:instrText>
      </w:r>
      <w:r w:rsidRPr="00877C4B">
        <w:rPr>
          <w:rFonts w:ascii="Times New Roman" w:hAnsi="Times New Roman" w:cs="Times New Roman"/>
          <w:color w:val="000000" w:themeColor="text1"/>
        </w:rPr>
        <w:fldChar w:fldCharType="separate"/>
      </w:r>
      <w:r w:rsidRPr="00877C4B">
        <w:rPr>
          <w:rFonts w:ascii="Times New Roman" w:hAnsi="Times New Roman" w:cs="Times New Roman"/>
          <w:color w:val="000000" w:themeColor="text1"/>
        </w:rPr>
        <w:t>(Klauk et al., 2012)</w:t>
      </w:r>
      <w:r w:rsidRPr="00877C4B">
        <w:rPr>
          <w:rFonts w:ascii="Times New Roman" w:hAnsi="Times New Roman" w:cs="Times New Roman"/>
          <w:color w:val="000000" w:themeColor="text1"/>
        </w:rPr>
        <w:fldChar w:fldCharType="end"/>
      </w:r>
      <w:r w:rsidRPr="00877C4B">
        <w:rPr>
          <w:rFonts w:ascii="Times New Roman" w:hAnsi="Times New Roman" w:cs="Times New Roman"/>
          <w:color w:val="000000" w:themeColor="text1"/>
        </w:rPr>
        <w:t>.</w:t>
      </w:r>
    </w:p>
    <w:p w14:paraId="36631FCF" w14:textId="77777777" w:rsidR="00274063" w:rsidRPr="00877C4B" w:rsidRDefault="007D4ACE" w:rsidP="00DA4631">
      <w:pPr>
        <w:pStyle w:val="a5"/>
        <w:adjustRightInd w:val="0"/>
        <w:snapToGrid w:val="0"/>
        <w:spacing w:before="0" w:beforeAutospacing="0" w:after="0" w:afterAutospacing="0" w:line="480" w:lineRule="auto"/>
        <w:ind w:firstLineChars="200" w:firstLine="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Research indicates that first-person narratives often result in higher risk perception compared to third-person perspectives </w:t>
      </w:r>
      <w:r w:rsidRPr="00877C4B">
        <w:rPr>
          <w:rFonts w:ascii="Times New Roman" w:hAnsi="Times New Roman" w:cs="Times New Roman"/>
          <w:color w:val="000000" w:themeColor="text1"/>
        </w:rPr>
        <w:fldChar w:fldCharType="begin"/>
      </w:r>
      <w:r w:rsidRPr="00877C4B">
        <w:rPr>
          <w:rFonts w:ascii="Times New Roman" w:hAnsi="Times New Roman" w:cs="Times New Roman"/>
          <w:color w:val="000000" w:themeColor="text1"/>
        </w:rPr>
        <w:instrText xml:space="preserve"> ADDIN ZOTERO_ITEM CSL_CITATION {"citationID":"OQ6cuX7k","properties":{"formattedCitation":"(Nan et al., 2015)","plainCitation":"(Nan et al., 2015)","noteIndex":0},"citationItems":[{"id":4722,"uris":["http://zotero.org/users/12189709/items/BU8R3CW9"],"itemData":{"id":4722,"type":"article-journal","container-title":"Health Communication","DOI":"10.1080/10410236.2014.888629","ISSN":"1041-0236, 1532-7027","issue":"3","journalAbbreviation":"Health Communication","language":"en","note":"TLDR: Results show that the hybrid message containing both statistical and narrative descriptions of HPV resulted in greater perceived risk of getting HPV than either of the messages containing just one type of evidence—statistical or narrative.","page":"301-308","source":"DOI.org (Crossref)","title":"Influence of Evidence Type and Narrative Type on HPV Risk Perception and Intention to Obtain the HPV Vaccine","volume":"30","author":[{"family":"Nan","given":"Xiaoli"},{"family":"Dahlstrom","given":"Michael F."},{"family":"Richards","given":"Adam"},{"family":"Rangarajan","given":"Sarani"}],"issued":{"date-parts":[["2015",3,4]]}}}],"schema":"https://github.com/citation-style-language/schema/raw/master/csl-citation.json"} </w:instrText>
      </w:r>
      <w:r w:rsidRPr="00877C4B">
        <w:rPr>
          <w:rFonts w:ascii="Times New Roman" w:hAnsi="Times New Roman" w:cs="Times New Roman"/>
          <w:color w:val="000000" w:themeColor="text1"/>
        </w:rPr>
        <w:fldChar w:fldCharType="separate"/>
      </w:r>
      <w:r w:rsidRPr="00877C4B">
        <w:rPr>
          <w:rFonts w:ascii="Times New Roman" w:hAnsi="Times New Roman" w:cs="Times New Roman"/>
          <w:color w:val="000000" w:themeColor="text1"/>
        </w:rPr>
        <w:t>(Nan et al., 2015)</w:t>
      </w:r>
      <w:r w:rsidRPr="00877C4B">
        <w:rPr>
          <w:rFonts w:ascii="Times New Roman" w:hAnsi="Times New Roman" w:cs="Times New Roman"/>
          <w:color w:val="000000" w:themeColor="text1"/>
        </w:rPr>
        <w:fldChar w:fldCharType="end"/>
      </w:r>
      <w:r w:rsidRPr="00877C4B">
        <w:rPr>
          <w:rFonts w:ascii="Times New Roman" w:hAnsi="Times New Roman" w:cs="Times New Roman"/>
          <w:color w:val="000000" w:themeColor="text1"/>
        </w:rPr>
        <w:t xml:space="preserve">. However, some studies suggest that the differences may depend on factors such as the research topic, narrative text, and audience characteristics </w:t>
      </w:r>
      <w:r w:rsidRPr="00877C4B">
        <w:rPr>
          <w:rFonts w:ascii="Times New Roman" w:hAnsi="Times New Roman" w:cs="Times New Roman"/>
          <w:color w:val="000000" w:themeColor="text1"/>
        </w:rPr>
        <w:fldChar w:fldCharType="begin"/>
      </w:r>
      <w:r w:rsidRPr="00877C4B">
        <w:rPr>
          <w:rFonts w:ascii="Times New Roman" w:hAnsi="Times New Roman" w:cs="Times New Roman"/>
          <w:color w:val="000000" w:themeColor="text1"/>
        </w:rPr>
        <w:instrText xml:space="preserve"> ADDIN ZOTERO_ITEM CSL_CITATION {"citationID":"GilbMwNK","properties":{"formattedCitation":"(Christy, 2018)","plainCitation":"(Christy, 2018)","noteIndex":0},"citationItems":[{"id":4723,"uris":["http://zotero.org/users/12189709/items/KEAWR767"],"itemData":{"id":4723,"type":"article-journal","container-title":"Media Psychology","DOI":"10.1080/15213269.2017.1400443","ISSN":"1521-3269, 1532-785X","issue":"4","journalAbbreviation":"Media Psychology","language":"en","page":"700-718","source":"DOI.org (Crossref)","title":"I, You, or He: Examining the Impact of Point of View on Narrative Persuasion","title-short":"I, You, or He","volume":"21","author":[{"family":"Christy","given":"Katheryn R."}],"issued":{"date-parts":[["2018",10,2]]}}}],"schema":"https://github.com/citation-style-language/schema/raw/master/csl-citation.json"} </w:instrText>
      </w:r>
      <w:r w:rsidRPr="00877C4B">
        <w:rPr>
          <w:rFonts w:ascii="Times New Roman" w:hAnsi="Times New Roman" w:cs="Times New Roman"/>
          <w:color w:val="000000" w:themeColor="text1"/>
        </w:rPr>
        <w:fldChar w:fldCharType="separate"/>
      </w:r>
      <w:r w:rsidRPr="00877C4B">
        <w:rPr>
          <w:rFonts w:ascii="Times New Roman" w:hAnsi="Times New Roman" w:cs="Times New Roman"/>
          <w:color w:val="000000" w:themeColor="text1"/>
        </w:rPr>
        <w:t>(Christy, 2018)</w:t>
      </w:r>
      <w:r w:rsidRPr="00877C4B">
        <w:rPr>
          <w:rFonts w:ascii="Times New Roman" w:hAnsi="Times New Roman" w:cs="Times New Roman"/>
          <w:color w:val="000000" w:themeColor="text1"/>
        </w:rPr>
        <w:fldChar w:fldCharType="end"/>
      </w:r>
      <w:r w:rsidRPr="00877C4B">
        <w:rPr>
          <w:rFonts w:ascii="Times New Roman" w:hAnsi="Times New Roman" w:cs="Times New Roman"/>
          <w:color w:val="000000" w:themeColor="text1"/>
        </w:rPr>
        <w:t>. Therefore, this study categorizes narrative perspective into two dimensions: the use of either first-person or third-person narratives.</w:t>
      </w:r>
    </w:p>
    <w:p w14:paraId="13C81082" w14:textId="77777777" w:rsidR="00274063" w:rsidRPr="00877C4B" w:rsidRDefault="007D4ACE" w:rsidP="00DA4631">
      <w:pPr>
        <w:pStyle w:val="a5"/>
        <w:adjustRightInd w:val="0"/>
        <w:snapToGrid w:val="0"/>
        <w:spacing w:before="0" w:beforeAutospacing="0" w:after="0" w:afterAutospacing="0" w:line="480" w:lineRule="auto"/>
        <w:ind w:firstLineChars="200" w:firstLine="480"/>
        <w:jc w:val="both"/>
        <w:rPr>
          <w:rFonts w:ascii="Times New Roman" w:hAnsi="Times New Roman" w:cs="Times New Roman"/>
          <w:color w:val="000000" w:themeColor="text1"/>
        </w:rPr>
      </w:pPr>
      <w:r w:rsidRPr="00877C4B">
        <w:rPr>
          <w:rStyle w:val="apple-converted-space"/>
          <w:rFonts w:ascii="Times New Roman" w:hAnsi="Times New Roman" w:cs="Times New Roman"/>
          <w:bCs/>
          <w:i/>
          <w:color w:val="000000" w:themeColor="text1"/>
        </w:rPr>
        <w:t>2.2.2.2 Narrative Duration.</w:t>
      </w:r>
      <w:r w:rsidRPr="00877C4B">
        <w:rPr>
          <w:rStyle w:val="apple-converted-space"/>
          <w:rFonts w:ascii="Times New Roman" w:hAnsi="Times New Roman" w:cs="Times New Roman"/>
          <w:i/>
          <w:color w:val="000000" w:themeColor="text1"/>
        </w:rPr>
        <w:t xml:space="preserve"> </w:t>
      </w:r>
      <w:r w:rsidRPr="00877C4B">
        <w:rPr>
          <w:rFonts w:ascii="Times New Roman" w:hAnsi="Times New Roman" w:cs="Times New Roman"/>
          <w:color w:val="000000" w:themeColor="text1"/>
        </w:rPr>
        <w:t xml:space="preserve">Narrative duration is a critical factor that may influence the effectiveness of communication </w:t>
      </w:r>
      <w:r w:rsidRPr="00877C4B">
        <w:rPr>
          <w:rFonts w:ascii="Times New Roman" w:hAnsi="Times New Roman" w:cs="Times New Roman"/>
          <w:color w:val="000000" w:themeColor="text1"/>
        </w:rPr>
        <w:fldChar w:fldCharType="begin"/>
      </w:r>
      <w:r w:rsidRPr="00877C4B">
        <w:rPr>
          <w:rFonts w:ascii="Times New Roman" w:hAnsi="Times New Roman" w:cs="Times New Roman"/>
          <w:color w:val="000000" w:themeColor="text1"/>
        </w:rPr>
        <w:instrText xml:space="preserve"> ADDIN ZOTERO_ITEM CSL_CITATION {"citationID":"rTLEOTHB","properties":{"formattedCitation":"(Otterbacher, 2009)","plainCitation":"(Otterbacher, 2009)","noteIndex":0},"citationItems":[{"id":4724,"uris":["http://zotero.org/users/12189709/items/S7CDIK64"],"itemData":{"id":4724,"type":"paper-conference","container-title":"Proceedings of the SIGCHI Conference on Human Factors in Computing Systems","DOI":"10.1145/1518701.1518848","event-place":"Boston MA USA","event-title":"CHI '09: CHI Conference on Human Factors in Computing Systems","ISBN":"978-1-60558-246-7","language":"en","note":"TLDR: A correlation and regression analysis uncovers a strong relationship between the chronological ordering of reviews and helpfulness, which both community participants and designers should keep in mind when using this method of social navigation.","page":"955-964","publisher":"ACM","publisher-place":"Boston MA USA","source":"DOI.org (Crossref)","title":"'Helpfulness' in online communities: a measure of message quality","title-short":"'Helpfulness' in online communities","URL":"https://dl.acm.org/doi/10.1145/1518701.1518848","author":[{"family":"Otterbacher","given":"Jahna"}],"accessed":{"date-parts":[["2024",9,19]]},"issued":{"date-parts":[["2009",4,4]]}}}],"schema":"https://github.com/citation-style-language/schema/raw/master/csl-citation.json"} </w:instrText>
      </w:r>
      <w:r w:rsidRPr="00877C4B">
        <w:rPr>
          <w:rFonts w:ascii="Times New Roman" w:hAnsi="Times New Roman" w:cs="Times New Roman"/>
          <w:color w:val="000000" w:themeColor="text1"/>
        </w:rPr>
        <w:fldChar w:fldCharType="separate"/>
      </w:r>
      <w:r w:rsidRPr="00877C4B">
        <w:rPr>
          <w:rFonts w:ascii="Times New Roman" w:hAnsi="Times New Roman" w:cs="Times New Roman"/>
          <w:color w:val="000000" w:themeColor="text1"/>
        </w:rPr>
        <w:t>(Otterbacher, 2009)</w:t>
      </w:r>
      <w:r w:rsidRPr="00877C4B">
        <w:rPr>
          <w:rFonts w:ascii="Times New Roman" w:hAnsi="Times New Roman" w:cs="Times New Roman"/>
          <w:color w:val="000000" w:themeColor="text1"/>
        </w:rPr>
        <w:fldChar w:fldCharType="end"/>
      </w:r>
      <w:r w:rsidRPr="00877C4B">
        <w:rPr>
          <w:rFonts w:ascii="Times New Roman" w:hAnsi="Times New Roman" w:cs="Times New Roman"/>
          <w:color w:val="000000" w:themeColor="text1"/>
        </w:rPr>
        <w:t xml:space="preserve">. While longer narratives typically provide more information and are directly related to narrative content, there is no consensus on whether longer health narratives yield better communication outcomes. </w:t>
      </w:r>
    </w:p>
    <w:p w14:paraId="7D2E0990" w14:textId="77777777" w:rsidR="00274063" w:rsidRPr="00877C4B" w:rsidRDefault="007D4ACE" w:rsidP="00DA4631">
      <w:pPr>
        <w:adjustRightInd w:val="0"/>
        <w:snapToGrid w:val="0"/>
        <w:spacing w:line="480" w:lineRule="auto"/>
        <w:ind w:firstLineChars="200" w:firstLine="480"/>
        <w:jc w:val="both"/>
        <w:rPr>
          <w:rFonts w:ascii="Times New Roman" w:hAnsi="Times New Roman" w:cs="Times New Roman"/>
          <w:color w:val="000000" w:themeColor="text1"/>
        </w:rPr>
      </w:pPr>
      <w:r w:rsidRPr="00877C4B">
        <w:rPr>
          <w:rFonts w:ascii="Times New Roman" w:hAnsi="Times New Roman" w:cs="Times New Roman"/>
          <w:color w:val="000000" w:themeColor="text1"/>
        </w:rPr>
        <w:lastRenderedPageBreak/>
        <w:t>Currently, there is no unified standard for the duration of government TikTok. Based on the average duration of all samples, this study uses the median of 1 minute and 50 seconds as the benchmark for measuring video length. The median is not affected by extreme values and can be used to describe the central tendency of the data. We hypothesize that short videos with an average duration greater than or equal to 1 minute and 50 seconds are likely to contain richer and more complete knowledge content.</w:t>
      </w:r>
    </w:p>
    <w:p w14:paraId="6A31DE4F" w14:textId="77777777" w:rsidR="00274063" w:rsidRPr="00877C4B" w:rsidRDefault="007D4ACE" w:rsidP="00DA4631">
      <w:pPr>
        <w:pStyle w:val="a5"/>
        <w:adjustRightInd w:val="0"/>
        <w:snapToGrid w:val="0"/>
        <w:spacing w:before="0" w:beforeAutospacing="0" w:after="0" w:afterAutospacing="0" w:line="480" w:lineRule="auto"/>
        <w:jc w:val="both"/>
        <w:rPr>
          <w:rFonts w:ascii="Times New Roman" w:hAnsi="Times New Roman" w:cs="Times New Roman"/>
          <w:color w:val="000000" w:themeColor="text1"/>
        </w:rPr>
      </w:pPr>
      <w:r w:rsidRPr="00877C4B">
        <w:rPr>
          <w:rStyle w:val="apple-converted-space"/>
          <w:rFonts w:ascii="Times New Roman" w:hAnsi="Times New Roman" w:cs="Times New Roman"/>
          <w:bCs/>
          <w:i/>
          <w:color w:val="000000" w:themeColor="text1"/>
        </w:rPr>
        <w:t>2.2.2.3 Narrative Style.</w:t>
      </w:r>
      <w:r w:rsidRPr="00877C4B">
        <w:rPr>
          <w:rFonts w:ascii="Times New Roman" w:hAnsi="Times New Roman" w:cs="Times New Roman"/>
          <w:color w:val="000000" w:themeColor="text1"/>
        </w:rPr>
        <w:t xml:space="preserve"> In today’s entertainment-driven media environment, government health narratives often adopt an entertaining or relaxed style to capture audience attention. Given the professional complexity of health information, narrative styles may vary, ranging from serious, rational presentations for more technical knowledge to lighter, humorous approaches for broader appeal. </w:t>
      </w:r>
    </w:p>
    <w:p w14:paraId="162A666D" w14:textId="77777777" w:rsidR="00274063" w:rsidRPr="00877C4B" w:rsidRDefault="007D4ACE" w:rsidP="00DA4631">
      <w:pPr>
        <w:pStyle w:val="a5"/>
        <w:adjustRightInd w:val="0"/>
        <w:snapToGrid w:val="0"/>
        <w:spacing w:before="0" w:beforeAutospacing="0" w:after="0" w:afterAutospacing="0" w:line="480" w:lineRule="auto"/>
        <w:ind w:firstLineChars="200" w:firstLine="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Therefore, in this study, narrative style is divided into two dimensions: serious and rational, and lighthearted and humorous. When it comes to presenting professional medical knowledge, the approach is typically serious and rational. However, there are also instances where such knowledge may be presented in a lighthearted and humorous manner, reflecting the trend of making knowledge more accessible and entertaining  </w:t>
      </w:r>
      <w:r w:rsidRPr="00877C4B">
        <w:rPr>
          <w:rFonts w:ascii="Times New Roman" w:hAnsi="Times New Roman" w:cs="Times New Roman"/>
          <w:color w:val="000000" w:themeColor="text1"/>
        </w:rPr>
        <w:fldChar w:fldCharType="begin"/>
      </w:r>
      <w:r w:rsidRPr="00877C4B">
        <w:rPr>
          <w:rFonts w:ascii="Times New Roman" w:hAnsi="Times New Roman" w:cs="Times New Roman"/>
          <w:color w:val="000000" w:themeColor="text1"/>
        </w:rPr>
        <w:instrText xml:space="preserve"> ADDIN ZOTERO_ITEM CSL_CITATION {"citationID":"f7cYRidp","properties":{"formattedCitation":"(Tian et al., 2023)","plainCitation":"(Tian et al., 2023)","noteIndex":0},"citationItems":[{"id":3506,"uris":["http://zotero.org/users/12189709/items/9Q2IHCVE"],"itemData":{"id":3506,"type":"article-journal","abstract":"Objective: This study analyzed the popularity of TikTok health knowledge popularization accounts with the objective of creating a template for accounts suited to widely disseminating information, thereby enhancing the public’s access to health knowledge on a broader scale.\nMethods: This study is based on 40 Chinese TikTok short video accounts that were active from February to April 2022 and were engaged in health science popularization. Data were validated by structured calibration using three qualitative anchors. It employs the “content–context” and the elaboration likelihood models as the theoretical framework. A qualitative comparative analysis is used to explore the factors affecting the popularity of this type of account mechanism.\nResults: Among the nine variables involved in the calculation, one reached 0.909091, demonstrating that the number of followers was both a necessary factor and a condition for the popularity of short health science video accounts. There were 16 paths in the complex solution with a consistency of 1, and their overall coverage reached 0.878788, indicating that approximately 87% of the cases could be explained. From the spread of the content and communication situation, professional medical knowledge, current hot topics, professionals, and serious issues were the most likely combinations for rapid spread. From the perspective of the central and edge paths, “likes” exceeding 100,000 and fans exceeding 1 million were essential combinations.\nConclusions: The dissemination of medical knowledge has gained signiﬁcant traction, especially with regard to trending and popular topics. When it comes to the tone of communication, a serious style proved effective in fostering what can be termed “hot communication.” From the standpoint of central and peripheral paths, it is crucial that the number of likes in the past month and the total number of fans surpass 100,000 and one million, respectively.","container-title":"DIGITAL HEALTH","DOI":"10.1177/20552076231219116","ISSN":"2055-2076, 2055-2076","journalAbbreviation":"DIGITAL HEALTH","language":"en","note":"TLDR: A serious style proved effective in fostering what can be termed “hot communication” and from the standpoint of central and peripheral paths, it is crucial that the number of likes in the past month and the total number of fans surpass 100,000 and one million, respectively.","page":"20552076231219116","source":"DOI.org (Crossref)","title":"Clearness qualitative comparative analysis of the spread of TikTok health science knowledge popularization accounts","volume":"9","author":[{"family":"Tian","given":"Yu"},{"family":"Liu","given":"Shuaishuai"},{"family":"Zhang","given":"Desheng"}],"issued":{"date-parts":[["2023",1]]}}}],"schema":"https://github.com/citation-style-language/schema/raw/master/csl-citation.json"} </w:instrText>
      </w:r>
      <w:r w:rsidRPr="00877C4B">
        <w:rPr>
          <w:rFonts w:ascii="Times New Roman" w:hAnsi="Times New Roman" w:cs="Times New Roman"/>
          <w:color w:val="000000" w:themeColor="text1"/>
        </w:rPr>
        <w:fldChar w:fldCharType="separate"/>
      </w:r>
      <w:r w:rsidRPr="00877C4B">
        <w:rPr>
          <w:rFonts w:ascii="Times New Roman" w:hAnsi="Times New Roman" w:cs="Times New Roman"/>
          <w:color w:val="000000" w:themeColor="text1"/>
        </w:rPr>
        <w:t>(Tian et al., 2023)</w:t>
      </w:r>
      <w:r w:rsidRPr="00877C4B">
        <w:rPr>
          <w:rFonts w:ascii="Times New Roman" w:hAnsi="Times New Roman" w:cs="Times New Roman"/>
          <w:color w:val="000000" w:themeColor="text1"/>
        </w:rPr>
        <w:fldChar w:fldCharType="end"/>
      </w:r>
      <w:r w:rsidRPr="00877C4B">
        <w:rPr>
          <w:rFonts w:ascii="Times New Roman" w:hAnsi="Times New Roman" w:cs="Times New Roman"/>
          <w:color w:val="000000" w:themeColor="text1"/>
        </w:rPr>
        <w:t>.</w:t>
      </w:r>
    </w:p>
    <w:p w14:paraId="73A82262" w14:textId="77777777" w:rsidR="00274063" w:rsidRPr="00877C4B" w:rsidRDefault="007D4ACE" w:rsidP="00DA4631">
      <w:pPr>
        <w:pStyle w:val="a5"/>
        <w:adjustRightInd w:val="0"/>
        <w:snapToGrid w:val="0"/>
        <w:spacing w:before="0" w:beforeAutospacing="0" w:after="0" w:afterAutospacing="0" w:line="480" w:lineRule="auto"/>
        <w:jc w:val="both"/>
        <w:rPr>
          <w:rFonts w:ascii="Times New Roman" w:hAnsi="Times New Roman" w:cs="Times New Roman"/>
          <w:color w:val="000000" w:themeColor="text1"/>
        </w:rPr>
      </w:pPr>
      <w:r w:rsidRPr="00877C4B">
        <w:rPr>
          <w:rStyle w:val="apple-converted-space"/>
          <w:rFonts w:ascii="Times New Roman" w:hAnsi="Times New Roman" w:cs="Times New Roman"/>
          <w:bCs/>
          <w:i/>
          <w:color w:val="000000" w:themeColor="text1"/>
        </w:rPr>
        <w:t xml:space="preserve">2.2.2.4 </w:t>
      </w:r>
      <w:r w:rsidRPr="00877C4B">
        <w:rPr>
          <w:rStyle w:val="apple-converted-space"/>
          <w:rFonts w:ascii="Times New Roman" w:hAnsi="Times New Roman" w:cs="Times New Roman"/>
          <w:i/>
          <w:color w:val="000000" w:themeColor="text1"/>
        </w:rPr>
        <w:t>Dramatic Features.</w:t>
      </w:r>
      <w:r w:rsidRPr="00877C4B">
        <w:rPr>
          <w:rFonts w:ascii="Times New Roman" w:hAnsi="Times New Roman"/>
          <w:color w:val="000000" w:themeColor="text1"/>
        </w:rPr>
        <w:t xml:space="preserve"> </w:t>
      </w:r>
      <w:r w:rsidRPr="00877C4B">
        <w:rPr>
          <w:rStyle w:val="apple-converted-space"/>
          <w:rFonts w:ascii="Times New Roman" w:hAnsi="Times New Roman" w:cs="Times New Roman"/>
          <w:color w:val="000000" w:themeColor="text1"/>
        </w:rPr>
        <w:t xml:space="preserve">Dramatic features, broadly defined, refer to characteristics used to construct the storyline, create suspense, and evoke emotions. These features emphasize emotional appeals in the narrative and the use of dramatic language and sensory details </w:t>
      </w:r>
      <w:r w:rsidRPr="00877C4B">
        <w:rPr>
          <w:rFonts w:ascii="Times New Roman" w:hAnsi="Times New Roman" w:cs="Times New Roman"/>
          <w:color w:val="000000" w:themeColor="text1"/>
        </w:rPr>
        <w:fldChar w:fldCharType="begin"/>
      </w:r>
      <w:r w:rsidRPr="00877C4B">
        <w:rPr>
          <w:rFonts w:ascii="Times New Roman" w:hAnsi="Times New Roman" w:cs="Times New Roman"/>
          <w:color w:val="000000" w:themeColor="text1"/>
        </w:rPr>
        <w:instrText xml:space="preserve"> ADDIN ZOTERO_ITEM CSL_CITATION {"citationID":"qAkRsPdv","properties":{"formattedCitation":"(Rodgers &amp; Stemmle, 2020)","plainCitation":"(Rodgers &amp; Stemmle, 2020)","noteIndex":0},"citationItems":[{"id":2811,"uris":["http://zotero.org/users/12189709/items/WCLDX7SN"],"itemData":{"id":2811,"type":"article-journal","container-title":"Journal of Current Issues &amp; Research in Advertising","DOI":"10.1080/10641734.2019.1641447","ISSN":"1064-1734, 2164-7313","issue":"3","journalAbbreviation":"Journal of Current Issues &amp; Research in Advertising","language":"en","page":"257-283","source":"DOI.org (Crossref)","title":"Are “Well-Told” Stories of Cancer Worn Out? Insights on Persuasion Characteristics Used in Cancer Narrative PSAs","title-short":"Are “Well-Told” Stories of Cancer Worn Out?","volume":"41","author":[{"family":"Rodgers","given":"Shelly"},{"family":"Stemmle","given":"Jon"}],"issued":{"date-parts":[["2020",9,1]]}}}],"schema":"https://github.com/citation-style-language/schema/raw/master/csl-citation.json"} </w:instrText>
      </w:r>
      <w:r w:rsidRPr="00877C4B">
        <w:rPr>
          <w:rFonts w:ascii="Times New Roman" w:hAnsi="Times New Roman" w:cs="Times New Roman"/>
          <w:color w:val="000000" w:themeColor="text1"/>
        </w:rPr>
        <w:fldChar w:fldCharType="separate"/>
      </w:r>
      <w:r w:rsidRPr="00877C4B">
        <w:rPr>
          <w:rFonts w:ascii="Times New Roman" w:hAnsi="Times New Roman" w:cs="Times New Roman"/>
          <w:color w:val="000000" w:themeColor="text1"/>
        </w:rPr>
        <w:t>(Rodgers &amp; Stemmle, 2020)</w:t>
      </w:r>
      <w:r w:rsidRPr="00877C4B">
        <w:rPr>
          <w:rFonts w:ascii="Times New Roman" w:hAnsi="Times New Roman" w:cs="Times New Roman"/>
          <w:color w:val="000000" w:themeColor="text1"/>
        </w:rPr>
        <w:fldChar w:fldCharType="end"/>
      </w:r>
      <w:r w:rsidRPr="00877C4B">
        <w:rPr>
          <w:rStyle w:val="apple-converted-space"/>
          <w:rFonts w:ascii="Times New Roman" w:hAnsi="Times New Roman" w:cs="Times New Roman"/>
          <w:i/>
          <w:color w:val="000000" w:themeColor="text1"/>
        </w:rPr>
        <w:t xml:space="preserve">. </w:t>
      </w:r>
      <w:r w:rsidRPr="00877C4B">
        <w:rPr>
          <w:rStyle w:val="apple-converted-space"/>
          <w:rFonts w:ascii="Times New Roman" w:hAnsi="Times New Roman" w:cs="Times New Roman"/>
          <w:color w:val="000000" w:themeColor="text1"/>
        </w:rPr>
        <w:t>Dramatic health narratives are considered more engaging and entertaining, and the emotional engagement triggered by dramatic features can influence persuasiveness through narrative processing.</w:t>
      </w:r>
      <w:r w:rsidRPr="00877C4B">
        <w:rPr>
          <w:rStyle w:val="apple-converted-space"/>
          <w:rFonts w:ascii="Times New Roman" w:hAnsi="Times New Roman" w:cs="Times New Roman" w:hint="eastAsia"/>
          <w:color w:val="000000" w:themeColor="text1"/>
        </w:rPr>
        <w:t xml:space="preserve"> </w:t>
      </w:r>
      <w:r w:rsidRPr="00877C4B">
        <w:rPr>
          <w:rFonts w:ascii="Times New Roman" w:hAnsi="Times New Roman" w:cs="Times New Roman"/>
          <w:color w:val="000000" w:themeColor="text1"/>
        </w:rPr>
        <w:t xml:space="preserve">The use of dramatic elements enhances audience empathy and emotional involvement, thereby increasing the persuasive power of health messages </w:t>
      </w:r>
      <w:r w:rsidRPr="00877C4B">
        <w:rPr>
          <w:rFonts w:ascii="Times New Roman" w:hAnsi="Times New Roman" w:cs="Times New Roman"/>
          <w:color w:val="000000" w:themeColor="text1"/>
        </w:rPr>
        <w:fldChar w:fldCharType="begin"/>
      </w:r>
      <w:r w:rsidRPr="00877C4B">
        <w:rPr>
          <w:rFonts w:ascii="Times New Roman" w:hAnsi="Times New Roman" w:cs="Times New Roman"/>
          <w:color w:val="000000" w:themeColor="text1"/>
        </w:rPr>
        <w:instrText xml:space="preserve"> ADDIN ZOTERO_ITEM CSL_CITATION {"citationID":"R2QDNYDE","properties":{"formattedCitation":"(Chang, 2008)","plainCitation":"(Chang, 2008)","noteIndex":0},"citationItems":[{"id":4725,"uris":["http://zotero.org/users/12189709/items/KCYA7S4D"],"itemData":{"id":4725,"type":"article-journal","container-title":"Journal of Health Communication","DOI":"10.1080/10810730701807027","ISSN":"1081-0730, 1087-0415","issue":"1","journalAbbreviation":"Journal of Health Communication","language":"en","page":"37-55","source":"DOI.org (Crossref)","title":"Increasing Mental Health Literacy via Narrative Advertising","volume":"13","author":[{"family":"Chang","given":"Chingching"}],"issued":{"date-parts":[["2008",2,8]]}}}],"schema":"https://github.com/citation-style-language/schema/raw/master/csl-citation.json"} </w:instrText>
      </w:r>
      <w:r w:rsidRPr="00877C4B">
        <w:rPr>
          <w:rFonts w:ascii="Times New Roman" w:hAnsi="Times New Roman" w:cs="Times New Roman"/>
          <w:color w:val="000000" w:themeColor="text1"/>
        </w:rPr>
        <w:fldChar w:fldCharType="separate"/>
      </w:r>
      <w:r w:rsidRPr="00877C4B">
        <w:rPr>
          <w:rFonts w:ascii="Times New Roman" w:hAnsi="Times New Roman" w:cs="Times New Roman"/>
          <w:color w:val="000000" w:themeColor="text1"/>
        </w:rPr>
        <w:t>(Chang, 2008)</w:t>
      </w:r>
      <w:r w:rsidRPr="00877C4B">
        <w:rPr>
          <w:rFonts w:ascii="Times New Roman" w:hAnsi="Times New Roman" w:cs="Times New Roman"/>
          <w:color w:val="000000" w:themeColor="text1"/>
        </w:rPr>
        <w:fldChar w:fldCharType="end"/>
      </w:r>
      <w:r w:rsidRPr="00877C4B">
        <w:rPr>
          <w:rFonts w:ascii="Times New Roman" w:hAnsi="Times New Roman" w:cs="Times New Roman"/>
          <w:color w:val="000000" w:themeColor="text1"/>
        </w:rPr>
        <w:t xml:space="preserve">. </w:t>
      </w:r>
    </w:p>
    <w:p w14:paraId="143C120D" w14:textId="77777777" w:rsidR="00274063" w:rsidRPr="00877C4B" w:rsidRDefault="007D4ACE" w:rsidP="00DA4631">
      <w:pPr>
        <w:pStyle w:val="a5"/>
        <w:adjustRightInd w:val="0"/>
        <w:snapToGrid w:val="0"/>
        <w:spacing w:before="0" w:beforeAutospacing="0" w:after="0" w:afterAutospacing="0" w:line="480" w:lineRule="auto"/>
        <w:ind w:firstLineChars="200" w:firstLine="480"/>
        <w:jc w:val="both"/>
        <w:rPr>
          <w:rFonts w:ascii="Times New Roman" w:hAnsi="Times New Roman" w:cs="Times New Roman"/>
          <w:color w:val="000000" w:themeColor="text1"/>
        </w:rPr>
      </w:pPr>
      <w:r w:rsidRPr="00877C4B">
        <w:rPr>
          <w:rFonts w:ascii="Times New Roman" w:hAnsi="Times New Roman" w:cs="Times New Roman"/>
          <w:color w:val="000000" w:themeColor="text1"/>
        </w:rPr>
        <w:lastRenderedPageBreak/>
        <w:t>From this perspective, this study classifies health narratives based on the presence or absence of dramatic features.</w:t>
      </w:r>
    </w:p>
    <w:p w14:paraId="5F8D275B" w14:textId="77777777" w:rsidR="00274063" w:rsidRPr="00877C4B" w:rsidRDefault="007D4ACE" w:rsidP="00DA4631">
      <w:pPr>
        <w:pStyle w:val="a5"/>
        <w:adjustRightInd w:val="0"/>
        <w:snapToGrid w:val="0"/>
        <w:spacing w:before="0" w:beforeAutospacing="0" w:after="0" w:afterAutospacing="0" w:line="480" w:lineRule="auto"/>
        <w:jc w:val="both"/>
        <w:rPr>
          <w:rFonts w:ascii="Times New Roman" w:hAnsi="Times New Roman" w:cs="Times New Roman"/>
          <w:color w:val="000000" w:themeColor="text1"/>
        </w:rPr>
      </w:pPr>
      <w:r w:rsidRPr="00877C4B">
        <w:rPr>
          <w:rStyle w:val="a7"/>
          <w:rFonts w:ascii="Times New Roman" w:hAnsi="Times New Roman" w:cs="Times New Roman"/>
          <w:b w:val="0"/>
          <w:i/>
          <w:color w:val="000000" w:themeColor="text1"/>
        </w:rPr>
        <w:t>2.2.3 Narrative Subject</w:t>
      </w:r>
    </w:p>
    <w:p w14:paraId="452BB576" w14:textId="77777777" w:rsidR="00274063" w:rsidRPr="00877C4B" w:rsidRDefault="007D4ACE" w:rsidP="009841C1">
      <w:pPr>
        <w:pStyle w:val="a5"/>
        <w:adjustRightInd w:val="0"/>
        <w:snapToGrid w:val="0"/>
        <w:spacing w:before="0" w:beforeAutospacing="0" w:after="0" w:afterAutospacing="0"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The narrative subject refers to the narrator within the storytelling process. Different subjects impart various emotional tones and perceptions, influencing the audience’s experience. A joint narrative involving healthcare professionals and patients is particularly persuasive and fosters a sense of empathy.</w:t>
      </w:r>
    </w:p>
    <w:p w14:paraId="38DD3CD2" w14:textId="77777777" w:rsidR="00274063" w:rsidRPr="00877C4B" w:rsidRDefault="007D4ACE" w:rsidP="00DA4631">
      <w:pPr>
        <w:pStyle w:val="a5"/>
        <w:adjustRightInd w:val="0"/>
        <w:snapToGrid w:val="0"/>
        <w:spacing w:before="0" w:beforeAutospacing="0" w:after="0" w:afterAutospacing="0" w:line="480" w:lineRule="auto"/>
        <w:ind w:firstLineChars="200" w:firstLine="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A "patient-centered" approach lies at the core of medical humanism </w:t>
      </w:r>
      <w:r w:rsidRPr="00877C4B">
        <w:rPr>
          <w:rFonts w:ascii="Times New Roman" w:hAnsi="Times New Roman" w:cs="Times New Roman"/>
          <w:color w:val="000000" w:themeColor="text1"/>
        </w:rPr>
        <w:fldChar w:fldCharType="begin"/>
      </w:r>
      <w:r w:rsidRPr="00877C4B">
        <w:rPr>
          <w:rFonts w:ascii="Times New Roman" w:hAnsi="Times New Roman" w:cs="Times New Roman"/>
          <w:color w:val="000000" w:themeColor="text1"/>
        </w:rPr>
        <w:instrText xml:space="preserve"> ADDIN ZOTERO_ITEM CSL_CITATION {"citationID":"dZMtwhD6","properties":{"formattedCitation":"(Branch, Jr, 2001)","plainCitation":"(Branch, Jr, 2001)","noteIndex":0},"citationItems":[{"id":4726,"uris":["http://zotero.org/users/12189709/items/56CJ5GTM"],"itemData":{"id":4726,"type":"article-journal","container-title":"JAMA","DOI":"10.1001/jama.286.9.1067","ISSN":"0098-7484","issue":"9","journalAbbreviation":"JAMA","language":"en","note":"TLDR: It is found that barriers to teaching humanism largely consist of elements of the informal and hidden curricula in medical schools and methods to help teachers overcome these barriers are defined.","page":"1067","source":"DOI.org (Crossref)","title":"Teaching the Human Dimensions of Care in Clinical Settings","volume":"286","author":[{"family":"Branch, Jr","given":"William T."}],"issued":{"date-parts":[["2001",9,5]]}}}],"schema":"https://github.com/citation-style-language/schema/raw/master/csl-citation.json"} </w:instrText>
      </w:r>
      <w:r w:rsidRPr="00877C4B">
        <w:rPr>
          <w:rFonts w:ascii="Times New Roman" w:hAnsi="Times New Roman" w:cs="Times New Roman"/>
          <w:color w:val="000000" w:themeColor="text1"/>
        </w:rPr>
        <w:fldChar w:fldCharType="separate"/>
      </w:r>
      <w:r w:rsidRPr="00877C4B">
        <w:rPr>
          <w:rFonts w:ascii="Times New Roman" w:hAnsi="Times New Roman" w:cs="Times New Roman"/>
          <w:color w:val="000000" w:themeColor="text1"/>
        </w:rPr>
        <w:t>(Branch, Jr, 2001)</w:t>
      </w:r>
      <w:r w:rsidRPr="00877C4B">
        <w:rPr>
          <w:rFonts w:ascii="Times New Roman" w:hAnsi="Times New Roman" w:cs="Times New Roman"/>
          <w:color w:val="000000" w:themeColor="text1"/>
        </w:rPr>
        <w:fldChar w:fldCharType="end"/>
      </w:r>
      <w:r w:rsidRPr="00877C4B">
        <w:rPr>
          <w:rFonts w:ascii="Times New Roman" w:hAnsi="Times New Roman" w:cs="Times New Roman"/>
          <w:color w:val="000000" w:themeColor="text1"/>
        </w:rPr>
        <w:t xml:space="preserve"> Joint narratives between doctors and patients demonstrate doctor-patient interactions focused on addressing public concerns and values. Such narratives cultivate empathy, emotional resonance, and identification between doctors and patients </w:t>
      </w:r>
      <w:r w:rsidRPr="00877C4B">
        <w:rPr>
          <w:rFonts w:ascii="Times New Roman" w:hAnsi="Times New Roman" w:cs="Times New Roman"/>
          <w:color w:val="000000" w:themeColor="text1"/>
        </w:rPr>
        <w:fldChar w:fldCharType="begin"/>
      </w:r>
      <w:r w:rsidRPr="00877C4B">
        <w:rPr>
          <w:rFonts w:ascii="Times New Roman" w:hAnsi="Times New Roman" w:cs="Times New Roman"/>
          <w:color w:val="000000" w:themeColor="text1"/>
        </w:rPr>
        <w:instrText xml:space="preserve"> ADDIN ZOTERO_ITEM CSL_CITATION {"citationID":"NMTeWXom","properties":{"formattedCitation":"(Kumagai, 2008)","plainCitation":"(Kumagai, 2008)","noteIndex":0},"citationItems":[{"id":4727,"uris":["http://zotero.org/users/12189709/items/3M6ABVR5"],"itemData":{"id":4727,"type":"article-journal","abstract":"Abstract\n            \n              \n              The use of narratives, including physicians’ and patients’ stories, literature, and film, is increasingly popular in medical education. There is, however, a need for an overarching conceptual framework to guide these efforts, which are often dismissed as “soft” and placed at the margins of medical school curricula. The purpose of this article is to describe the conceptual basis for an approach to patient-centered medical education and narrative medicine initiated at the University of Michigan Medical School in the fall of 2003. This approach, the Family Centered Experience, involves home visits and conversations between beginning medical students and patient volunteers and their families and is aimed at fostering humanism in medicine. The program incorporates developmental and learning theory, longitudinal interactions with individuals with chronic illness, reflective learning, and small-group discussions to explore the experience of illness and its care. The author describes a grounding of this approach in theories of empathy and moral development and clarifies the educational value that narratives bring to medical education. Specific pedagogical considerations, including use of activities to create “cognitive disequilibrium” and the concept of transformative learning, are also discussed and may be applied to narrative medicine, professionalism, multicultural education, medical ethics, and other subject areas in medical education that address individuals and their health care needs in society.","container-title":"Academic Medicine","DOI":"10.1097/ACM.0b013e3181782e17","ISSN":"1040-2446","issue":"7","language":"en","note":"TLDR: The author describes a grounding of this approach in theories of empathy and moral development and clarifies the educational value that narratives bring to medical education.","page":"653-658","source":"DOI.org (Crossref)","title":"A Conceptual Framework for the Use of Illness Narratives in Medical Education","volume":"83","author":[{"family":"Kumagai","given":"Arno K."}],"issued":{"date-parts":[["2008",7]]}}}],"schema":"https://github.com/citation-style-language/schema/raw/master/csl-citation.json"} </w:instrText>
      </w:r>
      <w:r w:rsidRPr="00877C4B">
        <w:rPr>
          <w:rFonts w:ascii="Times New Roman" w:hAnsi="Times New Roman" w:cs="Times New Roman"/>
          <w:color w:val="000000" w:themeColor="text1"/>
        </w:rPr>
        <w:fldChar w:fldCharType="separate"/>
      </w:r>
      <w:r w:rsidRPr="00877C4B">
        <w:rPr>
          <w:rFonts w:ascii="Times New Roman" w:hAnsi="Times New Roman" w:cs="Times New Roman"/>
          <w:color w:val="000000" w:themeColor="text1"/>
        </w:rPr>
        <w:t>(Kumagai, 2008)</w:t>
      </w:r>
      <w:r w:rsidRPr="00877C4B">
        <w:rPr>
          <w:rFonts w:ascii="Times New Roman" w:hAnsi="Times New Roman" w:cs="Times New Roman"/>
          <w:color w:val="000000" w:themeColor="text1"/>
        </w:rPr>
        <w:fldChar w:fldCharType="end"/>
      </w:r>
      <w:r w:rsidRPr="00877C4B">
        <w:rPr>
          <w:rFonts w:ascii="Times New Roman" w:hAnsi="Times New Roman" w:cs="Times New Roman"/>
          <w:color w:val="000000" w:themeColor="text1"/>
        </w:rPr>
        <w:t>. Therefore, this study categorizes the narrative subject into two dimensions: the inclusion of multi-subject doctor-patient interactions.</w:t>
      </w:r>
    </w:p>
    <w:p w14:paraId="1A730CAC" w14:textId="77777777" w:rsidR="00274063" w:rsidRPr="00877C4B" w:rsidRDefault="007D4ACE" w:rsidP="00DA4631">
      <w:pPr>
        <w:pStyle w:val="a5"/>
        <w:adjustRightInd w:val="0"/>
        <w:snapToGrid w:val="0"/>
        <w:spacing w:before="0" w:beforeAutospacing="0" w:after="0" w:afterAutospacing="0" w:line="480" w:lineRule="auto"/>
        <w:jc w:val="both"/>
        <w:rPr>
          <w:rFonts w:ascii="Times New Roman" w:hAnsi="Times New Roman" w:cs="Times New Roman"/>
          <w:color w:val="000000" w:themeColor="text1"/>
        </w:rPr>
      </w:pPr>
      <w:r w:rsidRPr="00877C4B">
        <w:rPr>
          <w:rStyle w:val="a7"/>
          <w:rFonts w:ascii="Times New Roman" w:hAnsi="Times New Roman" w:cs="Times New Roman"/>
          <w:b w:val="0"/>
          <w:i/>
          <w:color w:val="000000" w:themeColor="text1"/>
        </w:rPr>
        <w:t>2.2.4 Narrative Audiovisual Language</w:t>
      </w:r>
    </w:p>
    <w:p w14:paraId="4AB9E7CB" w14:textId="77777777" w:rsidR="00274063" w:rsidRPr="00877C4B" w:rsidRDefault="007D4ACE" w:rsidP="009841C1">
      <w:pPr>
        <w:pStyle w:val="a5"/>
        <w:adjustRightInd w:val="0"/>
        <w:snapToGrid w:val="0"/>
        <w:spacing w:before="0" w:beforeAutospacing="0" w:after="0" w:afterAutospacing="0"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Message Sensory Value (MSV) refers to the degree to which the audiovisual elements of a message engage the audience’s sensory and emotional responses </w:t>
      </w:r>
      <w:r w:rsidRPr="00877C4B">
        <w:rPr>
          <w:rFonts w:ascii="Times New Roman" w:hAnsi="Times New Roman" w:cs="Times New Roman"/>
          <w:color w:val="000000" w:themeColor="text1"/>
        </w:rPr>
        <w:fldChar w:fldCharType="begin"/>
      </w:r>
      <w:r w:rsidRPr="00877C4B">
        <w:rPr>
          <w:rFonts w:ascii="Times New Roman" w:hAnsi="Times New Roman" w:cs="Times New Roman"/>
          <w:color w:val="000000" w:themeColor="text1"/>
        </w:rPr>
        <w:instrText xml:space="preserve"> ADDIN ZOTERO_ITEM CSL_CITATION {"citationID":"vtvnKTYg","properties":{"formattedCitation":"(Palmgreen et al., 1991)","plainCitation":"(Palmgreen et al., 1991)","noteIndex":0},"citationItems":[{"id":4728,"uris":["http://zotero.org/users/12189709/items/88HT5W83"],"itemData":{"id":4728,"type":"article-journal","container-title":"Health Communication","DOI":"10.1207/s15327027hc0304_4","ISSN":"1041-0236, 1532-7027","issue":"4","journalAbbreviation":"Health Communication","language":"en","page":"217-227","source":"DOI.org (Crossref)","title":"Sensation Seeking, Message Sensation Value, and Drug Use as Mediators of PSA Effectiveness","volume":"3","author":[{"family":"Palmgreen","given":"Philip"},{"family":"Donohew","given":"Lewis"},{"family":"Lorch","given":"Elizabeth Pugzles"},{"family":"Rogus","given":"Mary"},{"family":"Helm","given":"David"},{"family":"Grant","given":"Nancy"}],"issued":{"date-parts":[["1991",10]]}}}],"schema":"https://github.com/citation-style-language/schema/raw/master/csl-citation.json"} </w:instrText>
      </w:r>
      <w:r w:rsidRPr="00877C4B">
        <w:rPr>
          <w:rFonts w:ascii="Times New Roman" w:hAnsi="Times New Roman" w:cs="Times New Roman"/>
          <w:color w:val="000000" w:themeColor="text1"/>
        </w:rPr>
        <w:fldChar w:fldCharType="separate"/>
      </w:r>
      <w:r w:rsidRPr="00877C4B">
        <w:rPr>
          <w:rFonts w:ascii="Times New Roman" w:hAnsi="Times New Roman" w:cs="Times New Roman"/>
          <w:color w:val="000000" w:themeColor="text1"/>
        </w:rPr>
        <w:t>(Palmgreen et al., 1991)</w:t>
      </w:r>
      <w:r w:rsidRPr="00877C4B">
        <w:rPr>
          <w:rFonts w:ascii="Times New Roman" w:hAnsi="Times New Roman" w:cs="Times New Roman"/>
          <w:color w:val="000000" w:themeColor="text1"/>
        </w:rPr>
        <w:fldChar w:fldCharType="end"/>
      </w:r>
      <w:r w:rsidRPr="00877C4B">
        <w:rPr>
          <w:rFonts w:ascii="Times New Roman" w:hAnsi="Times New Roman" w:cs="Times New Roman"/>
          <w:color w:val="000000" w:themeColor="text1"/>
        </w:rPr>
        <w:t xml:space="preserve">. Higher MSV content is generally more appealing, with existing research identifying three key dimensions: video features, audio features, and content characteristics </w:t>
      </w:r>
      <w:r w:rsidRPr="00877C4B">
        <w:rPr>
          <w:rFonts w:ascii="Times New Roman" w:hAnsi="Times New Roman" w:cs="Times New Roman"/>
          <w:color w:val="000000" w:themeColor="text1"/>
        </w:rPr>
        <w:fldChar w:fldCharType="begin"/>
      </w:r>
      <w:r w:rsidRPr="00877C4B">
        <w:rPr>
          <w:rFonts w:ascii="Times New Roman" w:hAnsi="Times New Roman" w:cs="Times New Roman"/>
          <w:color w:val="000000" w:themeColor="text1"/>
        </w:rPr>
        <w:instrText xml:space="preserve"> ADDIN ZOTERO_ITEM CSL_CITATION {"citationID":"gI52mxZr","properties":{"formattedCitation":"(Paek et al., 2010)","plainCitation":"(Paek et al., 2010)","noteIndex":0},"citationItems":[{"id":4729,"uris":["http://zotero.org/users/12189709/items/UNHKVSAQ"],"itemData":{"id":4729,"type":"article-journal","container-title":"Health Education Research","DOI":"10.1093/her/cyq063","ISSN":"0268-1153, 1465-3648","issue":"6","journalAbbreviation":"Health Education Research","language":"en","note":"TLDR: This content-analytic study examines 934 antismoking video clips on YouTube for the following characteristics: message sensation value (MSV) and three types of message appeal and these four characteristics are linked to YouTube's interactive audience response mechanisms to capture message reach, viewer preference and viewer engagement.","page":"1085-1099","source":"DOI.org (Crossref)","title":"Content analysis of antismoking videos on YouTube: message sensation value, message appeals, and their relationships with viewer responses","title-short":"Content analysis of antismoking videos on YouTube","volume":"25","author":[{"family":"Paek","given":"H.-J."},{"family":"Kim","given":"K."},{"family":"Hove","given":"T."}],"issued":{"date-parts":[["2010",12,1]]}}}],"schema":"https://github.com/citation-style-language/schema/raw/master/csl-citation.json"} </w:instrText>
      </w:r>
      <w:r w:rsidRPr="00877C4B">
        <w:rPr>
          <w:rFonts w:ascii="Times New Roman" w:hAnsi="Times New Roman" w:cs="Times New Roman"/>
          <w:color w:val="000000" w:themeColor="text1"/>
        </w:rPr>
        <w:fldChar w:fldCharType="separate"/>
      </w:r>
      <w:r w:rsidRPr="00877C4B">
        <w:rPr>
          <w:rFonts w:ascii="Times New Roman" w:hAnsi="Times New Roman" w:cs="Times New Roman"/>
          <w:color w:val="000000" w:themeColor="text1"/>
        </w:rPr>
        <w:t>(Paek et al., 2010)</w:t>
      </w:r>
      <w:r w:rsidRPr="00877C4B">
        <w:rPr>
          <w:rFonts w:ascii="Times New Roman" w:hAnsi="Times New Roman" w:cs="Times New Roman"/>
          <w:color w:val="000000" w:themeColor="text1"/>
        </w:rPr>
        <w:fldChar w:fldCharType="end"/>
      </w:r>
      <w:r w:rsidRPr="00877C4B">
        <w:rPr>
          <w:rFonts w:ascii="Times New Roman" w:hAnsi="Times New Roman" w:cs="Times New Roman"/>
          <w:color w:val="000000" w:themeColor="text1"/>
        </w:rPr>
        <w:t>.</w:t>
      </w:r>
    </w:p>
    <w:p w14:paraId="58FE3142" w14:textId="77777777" w:rsidR="00274063" w:rsidRPr="00877C4B" w:rsidRDefault="007D4ACE" w:rsidP="00DA4631">
      <w:pPr>
        <w:pStyle w:val="a5"/>
        <w:adjustRightInd w:val="0"/>
        <w:snapToGrid w:val="0"/>
        <w:spacing w:before="0" w:beforeAutospacing="0" w:after="0" w:afterAutospacing="0" w:line="480" w:lineRule="auto"/>
        <w:ind w:firstLineChars="200" w:firstLine="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Multimodal technology has infused new energy into the production of government health short videos. By utilizing MSV elements, such as strong visual imagery and dynamic audio, the communication effect is enhanced. Given the complexity of health communication, effective audiovisual packaging is essential for making health narratives more engaging. Therefore, this study classifies health-related government </w:t>
      </w:r>
      <w:r w:rsidRPr="00877C4B">
        <w:rPr>
          <w:rFonts w:ascii="Times New Roman" w:hAnsi="Times New Roman" w:cs="Times New Roman" w:hint="eastAsia"/>
          <w:color w:val="000000" w:themeColor="text1"/>
        </w:rPr>
        <w:t>TikTok</w:t>
      </w:r>
      <w:r w:rsidRPr="00877C4B">
        <w:rPr>
          <w:rFonts w:ascii="Times New Roman" w:hAnsi="Times New Roman" w:cs="Times New Roman"/>
          <w:color w:val="000000" w:themeColor="text1"/>
        </w:rPr>
        <w:t xml:space="preserve"> based on whether they employ audiovisual packaging techniques.</w:t>
      </w:r>
    </w:p>
    <w:p w14:paraId="2AB49B00" w14:textId="77777777" w:rsidR="00274063" w:rsidRPr="00877C4B" w:rsidRDefault="007D4ACE" w:rsidP="00DA4631">
      <w:pPr>
        <w:pStyle w:val="a5"/>
        <w:adjustRightInd w:val="0"/>
        <w:snapToGrid w:val="0"/>
        <w:spacing w:before="0" w:beforeAutospacing="0" w:after="0" w:afterAutospacing="0" w:line="480" w:lineRule="auto"/>
        <w:jc w:val="both"/>
        <w:rPr>
          <w:rStyle w:val="a7"/>
          <w:rFonts w:ascii="Times New Roman" w:hAnsi="Times New Roman" w:cs="Times New Roman"/>
          <w:b w:val="0"/>
          <w:i/>
          <w:color w:val="000000" w:themeColor="text1"/>
        </w:rPr>
      </w:pPr>
      <w:r w:rsidRPr="00877C4B">
        <w:rPr>
          <w:rStyle w:val="a7"/>
          <w:rFonts w:ascii="Times New Roman" w:hAnsi="Times New Roman" w:cs="Times New Roman"/>
          <w:b w:val="0"/>
          <w:i/>
          <w:color w:val="000000" w:themeColor="text1"/>
        </w:rPr>
        <w:t>2.2.5 Narrative Effect</w:t>
      </w:r>
    </w:p>
    <w:p w14:paraId="6DAB29A9" w14:textId="77777777" w:rsidR="00274063" w:rsidRPr="00877C4B" w:rsidRDefault="007D4ACE" w:rsidP="009841C1">
      <w:pPr>
        <w:pStyle w:val="a5"/>
        <w:adjustRightInd w:val="0"/>
        <w:snapToGrid w:val="0"/>
        <w:spacing w:before="0" w:beforeAutospacing="0" w:after="0" w:afterAutospacing="0"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lastRenderedPageBreak/>
        <w:t>The communication effect refers to the impact of the Shenzhen Health Commission's health narratives on the audience, serving as the outcome variable in this study. This effect is reflected in specific audience behaviors, including likes, comments, and shares. The communication effect can be comprehensively measured by the number of likes, comments, and shares, with the sum of these indicators used to calculate an average value. An analysis of 46 cases revealed that the overall average communication effect was 12,401. A value exceeding 12,401 indicates better dissemination and impact, suggesting that the content is more well-received by the audience. If the value is higher than the average, it indicates superior communication effectiveness, which is conducive to the spread of trending topics.</w:t>
      </w:r>
    </w:p>
    <w:p w14:paraId="5A6A305A" w14:textId="77777777" w:rsidR="00274063" w:rsidRPr="00877C4B" w:rsidRDefault="00274063" w:rsidP="00DA4631">
      <w:pPr>
        <w:pStyle w:val="a5"/>
        <w:adjustRightInd w:val="0"/>
        <w:snapToGrid w:val="0"/>
        <w:spacing w:before="0" w:beforeAutospacing="0" w:after="0" w:afterAutospacing="0" w:line="480" w:lineRule="auto"/>
        <w:jc w:val="both"/>
        <w:rPr>
          <w:rFonts w:ascii="Times New Roman" w:hAnsi="Times New Roman" w:cs="Times New Roman"/>
          <w:color w:val="000000" w:themeColor="text1"/>
        </w:rPr>
      </w:pPr>
    </w:p>
    <w:p w14:paraId="36CDE58E" w14:textId="77777777" w:rsidR="00274063" w:rsidRPr="00877C4B" w:rsidRDefault="007D4ACE" w:rsidP="00DA4631">
      <w:pPr>
        <w:pStyle w:val="a5"/>
        <w:adjustRightInd w:val="0"/>
        <w:snapToGrid w:val="0"/>
        <w:spacing w:before="0" w:beforeAutospacing="0" w:after="0" w:afterAutospacing="0" w:line="480" w:lineRule="auto"/>
        <w:jc w:val="both"/>
        <w:rPr>
          <w:rFonts w:ascii="Times New Roman" w:hAnsi="Times New Roman" w:cs="Times New Roman"/>
          <w:b/>
          <w:color w:val="000000" w:themeColor="text1"/>
        </w:rPr>
      </w:pPr>
      <w:r w:rsidRPr="00877C4B">
        <w:rPr>
          <w:rFonts w:ascii="Times New Roman" w:hAnsi="Times New Roman" w:cs="Times New Roman"/>
          <w:b/>
          <w:color w:val="000000" w:themeColor="text1"/>
        </w:rPr>
        <w:t>3.Research Methods and Design</w:t>
      </w:r>
    </w:p>
    <w:p w14:paraId="13EC51E7" w14:textId="77777777" w:rsidR="00274063" w:rsidRPr="00877C4B" w:rsidRDefault="007D4ACE" w:rsidP="00DA4631">
      <w:pPr>
        <w:adjustRightInd w:val="0"/>
        <w:snapToGrid w:val="0"/>
        <w:spacing w:line="480" w:lineRule="auto"/>
        <w:jc w:val="both"/>
        <w:outlineLvl w:val="2"/>
        <w:rPr>
          <w:rFonts w:ascii="Times New Roman" w:hAnsi="Times New Roman" w:cs="Times New Roman"/>
          <w:b/>
          <w:bCs/>
          <w:i/>
          <w:color w:val="000000" w:themeColor="text1"/>
        </w:rPr>
      </w:pPr>
      <w:r w:rsidRPr="00877C4B">
        <w:rPr>
          <w:rFonts w:ascii="Times New Roman" w:hAnsi="Times New Roman" w:cs="Times New Roman"/>
          <w:b/>
          <w:bCs/>
          <w:i/>
          <w:color w:val="000000" w:themeColor="text1"/>
        </w:rPr>
        <w:t>3.1 Research Method</w:t>
      </w:r>
    </w:p>
    <w:p w14:paraId="6C0ED22C" w14:textId="77777777" w:rsidR="00274063" w:rsidRPr="00877C4B" w:rsidRDefault="007D4ACE" w:rsidP="009841C1">
      <w:pPr>
        <w:adjustRightInd w:val="0"/>
        <w:snapToGrid w:val="0"/>
        <w:spacing w:line="480" w:lineRule="auto"/>
        <w:jc w:val="both"/>
        <w:outlineLvl w:val="2"/>
        <w:rPr>
          <w:rFonts w:ascii="Times New Roman" w:hAnsi="Times New Roman" w:cs="Times New Roman"/>
          <w:color w:val="000000" w:themeColor="text1"/>
        </w:rPr>
      </w:pPr>
      <w:r w:rsidRPr="00877C4B">
        <w:rPr>
          <w:rFonts w:ascii="Times New Roman" w:hAnsi="Times New Roman" w:cs="Times New Roman"/>
          <w:color w:val="000000" w:themeColor="text1"/>
        </w:rPr>
        <w:t xml:space="preserve">This study employs </w:t>
      </w:r>
      <w:r w:rsidRPr="00877C4B">
        <w:rPr>
          <w:rFonts w:ascii="Times New Roman" w:hAnsi="Times New Roman" w:cs="Times New Roman" w:hint="eastAsia"/>
          <w:color w:val="000000" w:themeColor="text1"/>
        </w:rPr>
        <w:t>c</w:t>
      </w:r>
      <w:r w:rsidRPr="00877C4B">
        <w:rPr>
          <w:rFonts w:ascii="Times New Roman" w:hAnsi="Times New Roman" w:cs="Times New Roman"/>
          <w:color w:val="000000" w:themeColor="text1"/>
        </w:rPr>
        <w:t>risp-</w:t>
      </w:r>
      <w:r w:rsidRPr="00877C4B">
        <w:rPr>
          <w:rFonts w:ascii="Times New Roman" w:hAnsi="Times New Roman" w:cs="Times New Roman" w:hint="eastAsia"/>
          <w:color w:val="000000" w:themeColor="text1"/>
        </w:rPr>
        <w:t>s</w:t>
      </w:r>
      <w:r w:rsidRPr="00877C4B">
        <w:rPr>
          <w:rFonts w:ascii="Times New Roman" w:hAnsi="Times New Roman" w:cs="Times New Roman"/>
          <w:color w:val="000000" w:themeColor="text1"/>
        </w:rPr>
        <w:t xml:space="preserve">et Qualitative Comparative Analysis (csQCA), a method specifically designed for analyzing binary-valued variables. Based on Boolean algebra, csQCA uses a set-theoretic framework to reveal the potential multiple causal combinations behind complex social phenomena. Unlike traditional univariate analysis, csQCA emphasizes a combination of case-oriented and variable-oriented approaches. It not only focuses on the characteristics of individual cases but also extracts more generalizable conclusions by comparing patterns across different cases. This method helps researchers identify causal relationships with explanatory power when exploring complex phenomena and allows for significant findings that are applicable to the broader research field, drawn from typical sample cases. Thus, csQCA offers unique advantages in studies involving multiple variables and complex causal relationships </w:t>
      </w:r>
      <w:r w:rsidRPr="00877C4B">
        <w:rPr>
          <w:rFonts w:ascii="Times New Roman" w:hAnsi="Times New Roman" w:cs="Times New Roman"/>
          <w:color w:val="000000" w:themeColor="text1"/>
        </w:rPr>
        <w:fldChar w:fldCharType="begin"/>
      </w:r>
      <w:r w:rsidRPr="00877C4B">
        <w:rPr>
          <w:rFonts w:ascii="Times New Roman" w:hAnsi="Times New Roman" w:cs="Times New Roman"/>
          <w:color w:val="000000" w:themeColor="text1"/>
        </w:rPr>
        <w:instrText xml:space="preserve"> ADDIN ZOTERO_ITEM CSL_CITATION {"citationID":"VmzhDV4k","properties":{"formattedCitation":"(Ragin, 2014)","plainCitation":"(Ragin, 2014)","noteIndex":0},"citationItems":[{"id":7093,"uris":["http://zotero.org/users/12189709/items/WR5G64T8"],"itemData":{"id":7093,"type":"book","call-number":"300.72","edition":"[2nd ed.] with a new introduction","event-place":"Oakland","ISBN":"978-0-520-28003-8","language":"eng","publisher":"University of California press","publisher-place":"Oakland","source":"BnF ISBN","title":"The comparative method: Moving beyond qualitative and quantitative strategies","title-short":"The comparative method","author":[{"family":"Ragin","given":"Charles C."}],"issued":{"date-parts":[["2014"]]}}}],"schema":"https://github.com/citation-style-language/schema/raw/master/csl-citation.json"} </w:instrText>
      </w:r>
      <w:r w:rsidRPr="00877C4B">
        <w:rPr>
          <w:rFonts w:ascii="Times New Roman" w:hAnsi="Times New Roman" w:cs="Times New Roman"/>
          <w:color w:val="000000" w:themeColor="text1"/>
        </w:rPr>
        <w:fldChar w:fldCharType="separate"/>
      </w:r>
      <w:r w:rsidRPr="00877C4B">
        <w:rPr>
          <w:rFonts w:ascii="Times New Roman" w:hAnsi="Times New Roman" w:cs="Times New Roman"/>
          <w:color w:val="000000" w:themeColor="text1"/>
        </w:rPr>
        <w:t>(Ragin, 2014)</w:t>
      </w:r>
      <w:r w:rsidRPr="00877C4B">
        <w:rPr>
          <w:rFonts w:ascii="Times New Roman" w:hAnsi="Times New Roman" w:cs="Times New Roman"/>
          <w:color w:val="000000" w:themeColor="text1"/>
        </w:rPr>
        <w:fldChar w:fldCharType="end"/>
      </w:r>
      <w:r w:rsidRPr="00877C4B">
        <w:rPr>
          <w:rFonts w:ascii="Times New Roman" w:hAnsi="Times New Roman" w:cs="Times New Roman"/>
          <w:color w:val="000000" w:themeColor="text1"/>
        </w:rPr>
        <w:t>.</w:t>
      </w:r>
    </w:p>
    <w:p w14:paraId="0FA1D839" w14:textId="77777777" w:rsidR="00274063" w:rsidRPr="00877C4B" w:rsidRDefault="007D4ACE" w:rsidP="00DA4631">
      <w:pPr>
        <w:adjustRightInd w:val="0"/>
        <w:snapToGrid w:val="0"/>
        <w:spacing w:line="480" w:lineRule="auto"/>
        <w:ind w:firstLineChars="200" w:firstLine="480"/>
        <w:jc w:val="both"/>
        <w:outlineLvl w:val="2"/>
        <w:rPr>
          <w:rFonts w:ascii="Times New Roman" w:hAnsi="Times New Roman" w:cs="Times New Roman"/>
          <w:color w:val="000000" w:themeColor="text1"/>
        </w:rPr>
      </w:pPr>
      <w:r w:rsidRPr="00877C4B">
        <w:rPr>
          <w:rFonts w:ascii="Times New Roman" w:hAnsi="Times New Roman" w:cs="Times New Roman"/>
          <w:color w:val="000000" w:themeColor="text1"/>
        </w:rPr>
        <w:lastRenderedPageBreak/>
        <w:t>Health-related official social media TikTok accounts represent a phenomenon characterized by "multiple concurrent causes," as they involve the interaction of multiple narrative factors. To effectively analyze this complex phenomenon, csQCA provides a systematic approach. The specific steps include selecting cases and determining variables for coding, importing the coding table into QCA software, constructing a truth table, and conducting consistency and coverage checks. Ultimately, the most typical and prominent causal factors are identified from among the numerous combinations of condition variables.</w:t>
      </w:r>
      <w:r w:rsidRPr="00877C4B">
        <w:rPr>
          <w:rFonts w:ascii="Times New Roman" w:hAnsi="Times New Roman" w:cs="Times New Roman"/>
          <w:b/>
          <w:bCs/>
          <w:i/>
          <w:color w:val="000000" w:themeColor="text1"/>
        </w:rPr>
        <w:t xml:space="preserve"> </w:t>
      </w:r>
    </w:p>
    <w:p w14:paraId="4EF0CE75" w14:textId="77777777" w:rsidR="00274063" w:rsidRPr="00877C4B" w:rsidRDefault="007D4ACE" w:rsidP="00DA4631">
      <w:pPr>
        <w:adjustRightInd w:val="0"/>
        <w:snapToGrid w:val="0"/>
        <w:spacing w:line="480" w:lineRule="auto"/>
        <w:jc w:val="both"/>
        <w:outlineLvl w:val="2"/>
        <w:rPr>
          <w:rFonts w:ascii="Times New Roman" w:hAnsi="Times New Roman" w:cs="Times New Roman"/>
          <w:b/>
          <w:bCs/>
          <w:i/>
          <w:color w:val="000000" w:themeColor="text1"/>
        </w:rPr>
      </w:pPr>
      <w:r w:rsidRPr="00877C4B">
        <w:rPr>
          <w:rFonts w:ascii="Times New Roman" w:hAnsi="Times New Roman" w:cs="Times New Roman"/>
          <w:b/>
          <w:bCs/>
          <w:i/>
          <w:color w:val="000000" w:themeColor="text1"/>
        </w:rPr>
        <w:t>3.2 Case Selection</w:t>
      </w:r>
    </w:p>
    <w:p w14:paraId="072D50D9" w14:textId="77777777" w:rsidR="00274063" w:rsidRPr="00877C4B" w:rsidRDefault="007D4ACE" w:rsidP="009841C1">
      <w:pPr>
        <w:adjustRightInd w:val="0"/>
        <w:snapToGrid w:val="0"/>
        <w:spacing w:line="480" w:lineRule="auto"/>
        <w:jc w:val="both"/>
        <w:outlineLvl w:val="2"/>
        <w:rPr>
          <w:rFonts w:ascii="Times New Roman" w:hAnsi="Times New Roman" w:cs="Times New Roman"/>
          <w:color w:val="000000" w:themeColor="text1"/>
        </w:rPr>
      </w:pPr>
      <w:r w:rsidRPr="00877C4B">
        <w:rPr>
          <w:rFonts w:ascii="Times New Roman" w:hAnsi="Times New Roman" w:cs="Times New Roman"/>
          <w:color w:val="000000" w:themeColor="text1"/>
        </w:rPr>
        <w:t xml:space="preserve">The new media platform selected for this study is the TikTok account of the Shenzhen Health Commission. In the mobile media era, official social media platforms serve as authoritative channels for the effective dissemination of health knowledge, playing a crucial role in conveying health policies and promoting health literacy with significant credibility. The TikTok account of the "Shenzhen Health Commission" represents a prime example of health-oriented official social media, renowned for its "most reliable health science communication and the most engaging content." In contrast to the traditional image of official social media, which is often associated with a formal, authoritative tone and one-way communication, the "Shenzhen Health Commission" TikTok account not only undertakes responsibilities such as policy interpretation, public transparency, information dissemination, and public opinion guidance, but also provides health knowledge popularization and education. </w:t>
      </w:r>
    </w:p>
    <w:p w14:paraId="70834F59" w14:textId="77777777" w:rsidR="00274063" w:rsidRPr="00877C4B" w:rsidRDefault="007D4ACE" w:rsidP="00DA4631">
      <w:pPr>
        <w:adjustRightInd w:val="0"/>
        <w:snapToGrid w:val="0"/>
        <w:spacing w:line="480" w:lineRule="auto"/>
        <w:ind w:firstLineChars="200" w:firstLine="480"/>
        <w:jc w:val="both"/>
        <w:outlineLvl w:val="2"/>
        <w:rPr>
          <w:rFonts w:ascii="Times New Roman" w:hAnsi="Times New Roman" w:cs="Times New Roman"/>
          <w:color w:val="000000" w:themeColor="text1"/>
        </w:rPr>
      </w:pPr>
      <w:r w:rsidRPr="00877C4B">
        <w:rPr>
          <w:rFonts w:ascii="Times New Roman" w:hAnsi="Times New Roman" w:cs="Times New Roman"/>
          <w:color w:val="000000" w:themeColor="text1"/>
        </w:rPr>
        <w:t xml:space="preserve">The "Shenzhen Health Commission" TikTok account has successfully facilitated public access to health information through innovative communication strategies and content presentation. Backend data and audience feedback indicate a positive communication effect. With over 3 million followers, the account has gained more than 1 million new followers in just one month, driven by its compelling narrative short </w:t>
      </w:r>
      <w:r w:rsidRPr="00877C4B">
        <w:rPr>
          <w:rFonts w:ascii="Times New Roman" w:hAnsi="Times New Roman" w:cs="Times New Roman"/>
          <w:color w:val="000000" w:themeColor="text1"/>
        </w:rPr>
        <w:lastRenderedPageBreak/>
        <w:t xml:space="preserve">videos. The TikTok account has consistently focused on the health sector, and its excellent performance has earned it the prestigious "Top Ten Innovative Cases in Chinese Applied News and Communication." Furthermore, the Shenzhen Health Commission's TikTok account has been consistently listed in the "Outstanding </w:t>
      </w:r>
      <w:r w:rsidRPr="00877C4B">
        <w:rPr>
          <w:rFonts w:ascii="Times New Roman" w:hAnsi="Times New Roman" w:cs="Times New Roman" w:hint="eastAsia"/>
          <w:color w:val="000000" w:themeColor="text1"/>
        </w:rPr>
        <w:t>government social media</w:t>
      </w:r>
      <w:r w:rsidRPr="00877C4B">
        <w:rPr>
          <w:rFonts w:ascii="Times New Roman" w:hAnsi="Times New Roman" w:cs="Times New Roman"/>
          <w:color w:val="000000" w:themeColor="text1"/>
        </w:rPr>
        <w:t xml:space="preserve"> Matrix of Shenzhen" for multiple months and has frequently topped the rankings, highlighting its outstanding influence and broad recognition in the field of </w:t>
      </w:r>
      <w:r w:rsidRPr="00877C4B">
        <w:rPr>
          <w:rFonts w:ascii="Times New Roman" w:hAnsi="Times New Roman" w:cs="Times New Roman" w:hint="eastAsia"/>
          <w:color w:val="000000" w:themeColor="text1"/>
        </w:rPr>
        <w:t>government social media</w:t>
      </w:r>
      <w:r w:rsidRPr="00877C4B">
        <w:rPr>
          <w:rFonts w:ascii="Times New Roman" w:hAnsi="Times New Roman" w:cs="Times New Roman"/>
          <w:color w:val="000000" w:themeColor="text1"/>
        </w:rPr>
        <w:t>.</w:t>
      </w:r>
    </w:p>
    <w:p w14:paraId="78880436" w14:textId="77777777" w:rsidR="00274063" w:rsidRPr="00877C4B" w:rsidRDefault="007D4ACE" w:rsidP="00DA4631">
      <w:pPr>
        <w:adjustRightInd w:val="0"/>
        <w:snapToGrid w:val="0"/>
        <w:spacing w:line="480" w:lineRule="auto"/>
        <w:ind w:firstLineChars="200" w:firstLine="480"/>
        <w:jc w:val="both"/>
        <w:outlineLvl w:val="2"/>
        <w:rPr>
          <w:rFonts w:ascii="Times New Roman" w:hAnsi="Times New Roman" w:cs="Times New Roman"/>
          <w:color w:val="000000" w:themeColor="text1"/>
        </w:rPr>
      </w:pPr>
      <w:r w:rsidRPr="00877C4B">
        <w:rPr>
          <w:rFonts w:ascii="Times New Roman" w:hAnsi="Times New Roman" w:cs="Times New Roman"/>
          <w:color w:val="000000" w:themeColor="text1"/>
        </w:rPr>
        <w:t>As of June 30, 2024, a total of 130 videos had been posted on this account. For the purpose of this study, we screened these videos, excluding those that did not fall within the scope of health narratives, were repetitive in topic, or did not meet other research criteria. Ultimately, 46 short videos were selected as the analysis sample. Overall, these 46 short videos received 7,722,625 likes, 608,677 comments, and 5,673,267 shares on the Douyin platform, indicating that these samples have certain typicality and widespread dissemination effects among the audience. In terms of content, the videos cover a wide range of health topics, including autism, dentistry, tuberculosis, and otolaryngology, demonstrating the broad coverage of health narratives in the research sample. Furthermore, these videos also display diversity in format, including short dramas and doctor interviews, highlighting the variety of characteristics within the sample.</w:t>
      </w:r>
    </w:p>
    <w:p w14:paraId="151687A0" w14:textId="77777777" w:rsidR="00274063" w:rsidRPr="00877C4B" w:rsidRDefault="007D4ACE" w:rsidP="00DA4631">
      <w:pPr>
        <w:adjustRightInd w:val="0"/>
        <w:snapToGrid w:val="0"/>
        <w:spacing w:line="480" w:lineRule="auto"/>
        <w:jc w:val="both"/>
        <w:outlineLvl w:val="2"/>
        <w:rPr>
          <w:rFonts w:ascii="Times New Roman" w:hAnsi="Times New Roman" w:cs="Times New Roman"/>
          <w:b/>
          <w:bCs/>
          <w:i/>
          <w:color w:val="000000" w:themeColor="text1"/>
        </w:rPr>
      </w:pPr>
      <w:r w:rsidRPr="00877C4B">
        <w:rPr>
          <w:rFonts w:ascii="Times New Roman" w:hAnsi="Times New Roman" w:cs="Times New Roman"/>
          <w:b/>
          <w:bCs/>
          <w:i/>
          <w:color w:val="000000" w:themeColor="text1"/>
        </w:rPr>
        <w:t>3.3 Variable Design and Assignment</w:t>
      </w:r>
    </w:p>
    <w:p w14:paraId="1C5DD048" w14:textId="77777777" w:rsidR="00274063" w:rsidRDefault="007D4ACE" w:rsidP="00CE14DB">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This study employs csQCA for analysis. Based on the "Principle of Binary Attribution" and considering both the data weight of each case and the expected utility of each conditional variable in relation to the outcome variable, binary assignments (1 or 0) were applied. The variables and their assignments are detailed in </w:t>
      </w:r>
      <w:r w:rsidRPr="00877C4B">
        <w:rPr>
          <w:rFonts w:ascii="Times New Roman" w:hAnsi="Times New Roman" w:cs="Times New Roman"/>
          <w:b/>
          <w:color w:val="000000" w:themeColor="text1"/>
        </w:rPr>
        <w:t xml:space="preserve">Table 1 </w:t>
      </w:r>
      <w:r w:rsidRPr="00877C4B">
        <w:rPr>
          <w:rFonts w:ascii="Times New Roman" w:hAnsi="Times New Roman" w:cs="Times New Roman"/>
          <w:color w:val="000000" w:themeColor="text1"/>
        </w:rPr>
        <w:t>below.</w:t>
      </w:r>
    </w:p>
    <w:p w14:paraId="22DBE52D" w14:textId="67A01477" w:rsidR="00FB3650" w:rsidRPr="00FB3650" w:rsidRDefault="00FB3650" w:rsidP="00FB3650">
      <w:pPr>
        <w:adjustRightInd w:val="0"/>
        <w:snapToGrid w:val="0"/>
        <w:jc w:val="both"/>
        <w:rPr>
          <w:rFonts w:ascii="Times New Roman" w:hAnsi="Times New Roman" w:cs="Times New Roman"/>
          <w:b/>
          <w:bCs/>
          <w:color w:val="000000" w:themeColor="text1"/>
        </w:rPr>
      </w:pPr>
      <w:r w:rsidRPr="00877C4B">
        <w:rPr>
          <w:rFonts w:ascii="Times New Roman" w:hAnsi="Times New Roman" w:cs="Times New Roman"/>
          <w:b/>
          <w:bCs/>
          <w:color w:val="000000" w:themeColor="text1"/>
        </w:rPr>
        <w:t>Table 1</w:t>
      </w:r>
      <w:r w:rsidRPr="00FB3650">
        <w:rPr>
          <w:rFonts w:ascii="Times New Roman" w:hAnsi="Times New Roman" w:cs="Times New Roman"/>
          <w:b/>
          <w:bCs/>
          <w:color w:val="000000" w:themeColor="text1"/>
        </w:rPr>
        <w:t xml:space="preserve"> Design and Assignment of Conditional Variables and Outcome Variables</w:t>
      </w:r>
    </w:p>
    <w:tbl>
      <w:tblPr>
        <w:tblStyle w:val="a6"/>
        <w:tblpPr w:leftFromText="180" w:rightFromText="180" w:vertAnchor="text" w:horzAnchor="page" w:tblpX="1806" w:tblpY="310"/>
        <w:tblOverlap w:val="never"/>
        <w:tblW w:w="8359" w:type="dxa"/>
        <w:tblLook w:val="04A0" w:firstRow="1" w:lastRow="0" w:firstColumn="1" w:lastColumn="0" w:noHBand="0" w:noVBand="1"/>
      </w:tblPr>
      <w:tblGrid>
        <w:gridCol w:w="1682"/>
        <w:gridCol w:w="1616"/>
        <w:gridCol w:w="2322"/>
        <w:gridCol w:w="1363"/>
        <w:gridCol w:w="1376"/>
      </w:tblGrid>
      <w:tr w:rsidR="00DA4631" w:rsidRPr="00877C4B" w14:paraId="2496603F" w14:textId="77777777">
        <w:tc>
          <w:tcPr>
            <w:tcW w:w="1682" w:type="dxa"/>
            <w:tcBorders>
              <w:top w:val="single" w:sz="12" w:space="0" w:color="000000"/>
              <w:left w:val="nil"/>
              <w:bottom w:val="single" w:sz="4" w:space="0" w:color="000000"/>
              <w:right w:val="nil"/>
              <w:tl2br w:val="nil"/>
            </w:tcBorders>
            <w:shd w:val="clear" w:color="auto" w:fill="FFFFFF"/>
          </w:tcPr>
          <w:p w14:paraId="560C14C0"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Variable</w:t>
            </w:r>
          </w:p>
        </w:tc>
        <w:tc>
          <w:tcPr>
            <w:tcW w:w="1616" w:type="dxa"/>
            <w:tcBorders>
              <w:top w:val="single" w:sz="12" w:space="0" w:color="000000"/>
              <w:left w:val="nil"/>
              <w:bottom w:val="single" w:sz="4" w:space="0" w:color="000000"/>
              <w:right w:val="nil"/>
            </w:tcBorders>
            <w:shd w:val="clear" w:color="auto" w:fill="FFFFFF"/>
          </w:tcPr>
          <w:p w14:paraId="2884E53D"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 xml:space="preserve">Variable </w:t>
            </w:r>
            <w:r w:rsidRPr="00877C4B">
              <w:rPr>
                <w:rFonts w:ascii="Times New Roman" w:hAnsi="Times New Roman" w:cs="Times New Roman"/>
                <w:color w:val="000000" w:themeColor="text1"/>
              </w:rPr>
              <w:lastRenderedPageBreak/>
              <w:t>Types</w:t>
            </w:r>
          </w:p>
        </w:tc>
        <w:tc>
          <w:tcPr>
            <w:tcW w:w="2322" w:type="dxa"/>
            <w:tcBorders>
              <w:top w:val="single" w:sz="12" w:space="0" w:color="000000"/>
              <w:left w:val="nil"/>
              <w:bottom w:val="single" w:sz="4" w:space="0" w:color="000000"/>
              <w:right w:val="nil"/>
            </w:tcBorders>
            <w:shd w:val="clear" w:color="auto" w:fill="FFFFFF"/>
          </w:tcPr>
          <w:p w14:paraId="0D5B26B0"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lastRenderedPageBreak/>
              <w:t>Explanation</w:t>
            </w:r>
          </w:p>
        </w:tc>
        <w:tc>
          <w:tcPr>
            <w:tcW w:w="1363" w:type="dxa"/>
            <w:tcBorders>
              <w:top w:val="single" w:sz="12" w:space="0" w:color="000000"/>
              <w:left w:val="nil"/>
              <w:bottom w:val="single" w:sz="4" w:space="0" w:color="000000"/>
              <w:right w:val="nil"/>
            </w:tcBorders>
            <w:shd w:val="clear" w:color="auto" w:fill="FFFFFF"/>
          </w:tcPr>
          <w:p w14:paraId="7CE7D306"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Assignment</w:t>
            </w:r>
          </w:p>
        </w:tc>
        <w:tc>
          <w:tcPr>
            <w:tcW w:w="1376" w:type="dxa"/>
            <w:tcBorders>
              <w:top w:val="single" w:sz="12" w:space="0" w:color="000000"/>
              <w:left w:val="nil"/>
              <w:bottom w:val="single" w:sz="4" w:space="0" w:color="000000"/>
              <w:right w:val="nil"/>
            </w:tcBorders>
            <w:shd w:val="clear" w:color="auto" w:fill="FFFFFF"/>
          </w:tcPr>
          <w:p w14:paraId="64978A02"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 xml:space="preserve">Explanation </w:t>
            </w:r>
            <w:r w:rsidRPr="00877C4B">
              <w:rPr>
                <w:rFonts w:ascii="Times New Roman" w:hAnsi="Times New Roman" w:cs="Times New Roman"/>
                <w:color w:val="000000" w:themeColor="text1"/>
              </w:rPr>
              <w:lastRenderedPageBreak/>
              <w:t>variables</w:t>
            </w:r>
          </w:p>
        </w:tc>
      </w:tr>
      <w:tr w:rsidR="00DA4631" w:rsidRPr="00877C4B" w14:paraId="06681F38" w14:textId="77777777">
        <w:tc>
          <w:tcPr>
            <w:tcW w:w="1682" w:type="dxa"/>
            <w:vMerge w:val="restart"/>
            <w:tcBorders>
              <w:top w:val="single" w:sz="4" w:space="0" w:color="000000"/>
              <w:left w:val="nil"/>
              <w:bottom w:val="nil"/>
              <w:right w:val="nil"/>
            </w:tcBorders>
            <w:shd w:val="clear" w:color="auto" w:fill="FFFFFF"/>
          </w:tcPr>
          <w:p w14:paraId="37F70B7B" w14:textId="77777777" w:rsidR="00274063" w:rsidRPr="00877C4B" w:rsidRDefault="007D4ACE" w:rsidP="00DA4631">
            <w:pPr>
              <w:pStyle w:val="aa"/>
              <w:adjustRightInd w:val="0"/>
              <w:snapToGrid w:val="0"/>
              <w:spacing w:line="480" w:lineRule="auto"/>
              <w:ind w:firstLineChars="0" w:firstLine="0"/>
              <w:rPr>
                <w:rFonts w:cs="Times New Roman"/>
                <w:color w:val="000000" w:themeColor="text1"/>
              </w:rPr>
            </w:pPr>
            <w:r w:rsidRPr="00877C4B">
              <w:rPr>
                <w:rFonts w:cs="Times New Roman"/>
                <w:color w:val="000000" w:themeColor="text1"/>
              </w:rPr>
              <w:lastRenderedPageBreak/>
              <w:t>Narrative content</w:t>
            </w:r>
          </w:p>
        </w:tc>
        <w:tc>
          <w:tcPr>
            <w:tcW w:w="1616" w:type="dxa"/>
            <w:vMerge w:val="restart"/>
            <w:tcBorders>
              <w:top w:val="single" w:sz="4" w:space="0" w:color="000000"/>
              <w:left w:val="nil"/>
              <w:bottom w:val="nil"/>
              <w:right w:val="nil"/>
            </w:tcBorders>
            <w:shd w:val="clear" w:color="auto" w:fill="FFFFFF"/>
          </w:tcPr>
          <w:p w14:paraId="1B80492C" w14:textId="77777777" w:rsidR="00274063" w:rsidRPr="00877C4B" w:rsidRDefault="007D4ACE" w:rsidP="00DA4631">
            <w:pPr>
              <w:pStyle w:val="aa"/>
              <w:adjustRightInd w:val="0"/>
              <w:snapToGrid w:val="0"/>
              <w:spacing w:line="480" w:lineRule="auto"/>
              <w:ind w:firstLineChars="0" w:firstLine="0"/>
              <w:rPr>
                <w:rFonts w:cs="Times New Roman"/>
                <w:color w:val="000000" w:themeColor="text1"/>
              </w:rPr>
            </w:pPr>
            <w:r w:rsidRPr="00877C4B">
              <w:rPr>
                <w:rFonts w:cs="Times New Roman"/>
                <w:color w:val="000000" w:themeColor="text1"/>
              </w:rPr>
              <w:t>Knowledge Clues</w:t>
            </w:r>
          </w:p>
        </w:tc>
        <w:tc>
          <w:tcPr>
            <w:tcW w:w="2322" w:type="dxa"/>
            <w:tcBorders>
              <w:top w:val="single" w:sz="4" w:space="0" w:color="000000"/>
              <w:left w:val="nil"/>
              <w:bottom w:val="nil"/>
              <w:right w:val="nil"/>
            </w:tcBorders>
            <w:shd w:val="clear" w:color="auto" w:fill="FFFFFF"/>
          </w:tcPr>
          <w:p w14:paraId="2383EE82"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There are knowledge clues</w:t>
            </w:r>
          </w:p>
        </w:tc>
        <w:tc>
          <w:tcPr>
            <w:tcW w:w="1363" w:type="dxa"/>
            <w:tcBorders>
              <w:top w:val="single" w:sz="4" w:space="0" w:color="000000"/>
              <w:left w:val="nil"/>
              <w:bottom w:val="nil"/>
              <w:right w:val="nil"/>
            </w:tcBorders>
            <w:shd w:val="clear" w:color="auto" w:fill="FFFFFF"/>
          </w:tcPr>
          <w:p w14:paraId="1761BCAF"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1</w:t>
            </w:r>
          </w:p>
        </w:tc>
        <w:tc>
          <w:tcPr>
            <w:tcW w:w="1376" w:type="dxa"/>
            <w:vMerge w:val="restart"/>
            <w:tcBorders>
              <w:top w:val="single" w:sz="4" w:space="0" w:color="000000"/>
              <w:left w:val="nil"/>
              <w:bottom w:val="nil"/>
              <w:right w:val="nil"/>
            </w:tcBorders>
            <w:shd w:val="clear" w:color="auto" w:fill="FFFFFF"/>
          </w:tcPr>
          <w:p w14:paraId="1B9035AE" w14:textId="77777777" w:rsidR="00274063" w:rsidRPr="00877C4B" w:rsidRDefault="007D4ACE" w:rsidP="00DA4631">
            <w:pPr>
              <w:pStyle w:val="aa"/>
              <w:adjustRightInd w:val="0"/>
              <w:snapToGrid w:val="0"/>
              <w:spacing w:line="480" w:lineRule="auto"/>
              <w:ind w:firstLineChars="0" w:firstLine="0"/>
              <w:rPr>
                <w:rFonts w:cs="Times New Roman"/>
                <w:color w:val="000000" w:themeColor="text1"/>
              </w:rPr>
            </w:pPr>
            <w:r w:rsidRPr="00877C4B">
              <w:rPr>
                <w:rFonts w:cs="Times New Roman"/>
                <w:color w:val="000000" w:themeColor="text1"/>
              </w:rPr>
              <w:t>Condition variables</w:t>
            </w:r>
          </w:p>
        </w:tc>
      </w:tr>
      <w:tr w:rsidR="00DA4631" w:rsidRPr="00877C4B" w14:paraId="081E78F0" w14:textId="77777777">
        <w:tc>
          <w:tcPr>
            <w:tcW w:w="1682" w:type="dxa"/>
            <w:vMerge/>
            <w:tcBorders>
              <w:top w:val="nil"/>
              <w:left w:val="nil"/>
              <w:bottom w:val="nil"/>
              <w:right w:val="nil"/>
            </w:tcBorders>
            <w:shd w:val="clear" w:color="auto" w:fill="FFFFFF"/>
          </w:tcPr>
          <w:p w14:paraId="63825400"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c>
          <w:tcPr>
            <w:tcW w:w="1616" w:type="dxa"/>
            <w:vMerge/>
            <w:tcBorders>
              <w:top w:val="nil"/>
              <w:left w:val="nil"/>
              <w:bottom w:val="nil"/>
              <w:right w:val="nil"/>
            </w:tcBorders>
            <w:shd w:val="clear" w:color="auto" w:fill="FFFFFF"/>
          </w:tcPr>
          <w:p w14:paraId="19DD67BB"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c>
          <w:tcPr>
            <w:tcW w:w="2322" w:type="dxa"/>
            <w:tcBorders>
              <w:top w:val="nil"/>
              <w:left w:val="nil"/>
              <w:bottom w:val="nil"/>
              <w:right w:val="nil"/>
            </w:tcBorders>
            <w:shd w:val="clear" w:color="auto" w:fill="FFFFFF"/>
          </w:tcPr>
          <w:p w14:paraId="5DE141B4"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No knowledge clues</w:t>
            </w:r>
          </w:p>
        </w:tc>
        <w:tc>
          <w:tcPr>
            <w:tcW w:w="1363" w:type="dxa"/>
            <w:tcBorders>
              <w:top w:val="nil"/>
              <w:left w:val="nil"/>
              <w:bottom w:val="nil"/>
              <w:right w:val="nil"/>
            </w:tcBorders>
            <w:shd w:val="clear" w:color="auto" w:fill="FFFFFF"/>
          </w:tcPr>
          <w:p w14:paraId="25A28F40"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0</w:t>
            </w:r>
          </w:p>
        </w:tc>
        <w:tc>
          <w:tcPr>
            <w:tcW w:w="1376" w:type="dxa"/>
            <w:vMerge/>
            <w:tcBorders>
              <w:top w:val="nil"/>
              <w:left w:val="nil"/>
              <w:bottom w:val="nil"/>
              <w:right w:val="nil"/>
            </w:tcBorders>
            <w:shd w:val="clear" w:color="auto" w:fill="FFFFFF"/>
          </w:tcPr>
          <w:p w14:paraId="685E6390"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r>
      <w:tr w:rsidR="00DA4631" w:rsidRPr="00877C4B" w14:paraId="37A3C1D5" w14:textId="77777777">
        <w:tc>
          <w:tcPr>
            <w:tcW w:w="1682" w:type="dxa"/>
            <w:vMerge/>
            <w:tcBorders>
              <w:top w:val="nil"/>
              <w:left w:val="nil"/>
              <w:bottom w:val="nil"/>
              <w:right w:val="nil"/>
            </w:tcBorders>
            <w:shd w:val="clear" w:color="auto" w:fill="FFFFFF"/>
          </w:tcPr>
          <w:p w14:paraId="141238B3"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c>
          <w:tcPr>
            <w:tcW w:w="1616" w:type="dxa"/>
            <w:vMerge w:val="restart"/>
            <w:tcBorders>
              <w:top w:val="nil"/>
              <w:left w:val="nil"/>
              <w:bottom w:val="nil"/>
              <w:right w:val="nil"/>
            </w:tcBorders>
            <w:shd w:val="clear" w:color="auto" w:fill="FFFFFF"/>
          </w:tcPr>
          <w:p w14:paraId="1A15F6A2" w14:textId="77777777" w:rsidR="00274063" w:rsidRPr="00877C4B" w:rsidRDefault="007D4ACE" w:rsidP="00DA4631">
            <w:pPr>
              <w:pStyle w:val="aa"/>
              <w:adjustRightInd w:val="0"/>
              <w:snapToGrid w:val="0"/>
              <w:spacing w:line="480" w:lineRule="auto"/>
              <w:ind w:firstLineChars="0" w:firstLine="0"/>
              <w:rPr>
                <w:rFonts w:cs="Times New Roman"/>
                <w:color w:val="000000" w:themeColor="text1"/>
              </w:rPr>
            </w:pPr>
            <w:r w:rsidRPr="00877C4B">
              <w:rPr>
                <w:rFonts w:cs="Times New Roman"/>
                <w:color w:val="000000" w:themeColor="text1"/>
              </w:rPr>
              <w:t>Belief Clues</w:t>
            </w:r>
          </w:p>
        </w:tc>
        <w:tc>
          <w:tcPr>
            <w:tcW w:w="2322" w:type="dxa"/>
            <w:tcBorders>
              <w:top w:val="nil"/>
              <w:left w:val="nil"/>
              <w:bottom w:val="nil"/>
              <w:right w:val="nil"/>
            </w:tcBorders>
            <w:shd w:val="clear" w:color="auto" w:fill="FFFFFF"/>
          </w:tcPr>
          <w:p w14:paraId="57A362E4"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There are clues of belief</w:t>
            </w:r>
          </w:p>
        </w:tc>
        <w:tc>
          <w:tcPr>
            <w:tcW w:w="1363" w:type="dxa"/>
            <w:tcBorders>
              <w:top w:val="nil"/>
              <w:left w:val="nil"/>
              <w:bottom w:val="nil"/>
              <w:right w:val="nil"/>
            </w:tcBorders>
            <w:shd w:val="clear" w:color="auto" w:fill="FFFFFF"/>
          </w:tcPr>
          <w:p w14:paraId="3215ADF4"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1</w:t>
            </w:r>
          </w:p>
        </w:tc>
        <w:tc>
          <w:tcPr>
            <w:tcW w:w="1376" w:type="dxa"/>
            <w:vMerge/>
            <w:tcBorders>
              <w:top w:val="nil"/>
              <w:left w:val="nil"/>
              <w:bottom w:val="nil"/>
              <w:right w:val="nil"/>
            </w:tcBorders>
            <w:shd w:val="clear" w:color="auto" w:fill="FFFFFF"/>
          </w:tcPr>
          <w:p w14:paraId="04BF3D6A"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r>
      <w:tr w:rsidR="00DA4631" w:rsidRPr="00877C4B" w14:paraId="73FDF4B9" w14:textId="77777777">
        <w:tc>
          <w:tcPr>
            <w:tcW w:w="1682" w:type="dxa"/>
            <w:vMerge/>
            <w:tcBorders>
              <w:top w:val="nil"/>
              <w:left w:val="nil"/>
              <w:bottom w:val="nil"/>
              <w:right w:val="nil"/>
            </w:tcBorders>
            <w:shd w:val="clear" w:color="auto" w:fill="FFFFFF"/>
          </w:tcPr>
          <w:p w14:paraId="204FD64E"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c>
          <w:tcPr>
            <w:tcW w:w="1616" w:type="dxa"/>
            <w:vMerge/>
            <w:tcBorders>
              <w:top w:val="nil"/>
              <w:left w:val="nil"/>
              <w:bottom w:val="nil"/>
              <w:right w:val="nil"/>
            </w:tcBorders>
            <w:shd w:val="clear" w:color="auto" w:fill="FFFFFF"/>
          </w:tcPr>
          <w:p w14:paraId="31DD4494"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c>
          <w:tcPr>
            <w:tcW w:w="2322" w:type="dxa"/>
            <w:tcBorders>
              <w:top w:val="nil"/>
              <w:left w:val="nil"/>
              <w:bottom w:val="nil"/>
              <w:right w:val="nil"/>
            </w:tcBorders>
            <w:shd w:val="clear" w:color="auto" w:fill="FFFFFF"/>
          </w:tcPr>
          <w:p w14:paraId="109CBE3B"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No belief clues</w:t>
            </w:r>
          </w:p>
        </w:tc>
        <w:tc>
          <w:tcPr>
            <w:tcW w:w="1363" w:type="dxa"/>
            <w:tcBorders>
              <w:top w:val="nil"/>
              <w:left w:val="nil"/>
              <w:bottom w:val="nil"/>
              <w:right w:val="nil"/>
            </w:tcBorders>
            <w:shd w:val="clear" w:color="auto" w:fill="FFFFFF"/>
          </w:tcPr>
          <w:p w14:paraId="683A9674"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0</w:t>
            </w:r>
          </w:p>
        </w:tc>
        <w:tc>
          <w:tcPr>
            <w:tcW w:w="1376" w:type="dxa"/>
            <w:vMerge/>
            <w:tcBorders>
              <w:top w:val="nil"/>
              <w:left w:val="nil"/>
              <w:bottom w:val="nil"/>
              <w:right w:val="nil"/>
            </w:tcBorders>
            <w:shd w:val="clear" w:color="auto" w:fill="FFFFFF"/>
          </w:tcPr>
          <w:p w14:paraId="2AAAC2BF"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r>
      <w:tr w:rsidR="00DA4631" w:rsidRPr="00877C4B" w14:paraId="1893AAAF" w14:textId="77777777">
        <w:tc>
          <w:tcPr>
            <w:tcW w:w="1682" w:type="dxa"/>
            <w:vMerge/>
            <w:tcBorders>
              <w:top w:val="nil"/>
              <w:left w:val="nil"/>
              <w:bottom w:val="nil"/>
              <w:right w:val="nil"/>
            </w:tcBorders>
            <w:shd w:val="clear" w:color="auto" w:fill="FFFFFF"/>
          </w:tcPr>
          <w:p w14:paraId="70A24727"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c>
          <w:tcPr>
            <w:tcW w:w="1616" w:type="dxa"/>
            <w:vMerge w:val="restart"/>
            <w:tcBorders>
              <w:top w:val="nil"/>
              <w:left w:val="nil"/>
              <w:bottom w:val="nil"/>
              <w:right w:val="nil"/>
            </w:tcBorders>
            <w:shd w:val="clear" w:color="auto" w:fill="FFFFFF"/>
          </w:tcPr>
          <w:p w14:paraId="1C909D61" w14:textId="77777777" w:rsidR="00274063" w:rsidRPr="00877C4B" w:rsidRDefault="007D4ACE" w:rsidP="00DA4631">
            <w:pPr>
              <w:pStyle w:val="aa"/>
              <w:adjustRightInd w:val="0"/>
              <w:snapToGrid w:val="0"/>
              <w:spacing w:line="480" w:lineRule="auto"/>
              <w:ind w:firstLineChars="0" w:firstLine="0"/>
              <w:rPr>
                <w:rFonts w:cs="Times New Roman"/>
                <w:color w:val="000000" w:themeColor="text1"/>
              </w:rPr>
            </w:pPr>
            <w:r w:rsidRPr="00877C4B">
              <w:rPr>
                <w:rFonts w:cs="Times New Roman"/>
                <w:color w:val="000000" w:themeColor="text1"/>
              </w:rPr>
              <w:t>Action Clues</w:t>
            </w:r>
          </w:p>
        </w:tc>
        <w:tc>
          <w:tcPr>
            <w:tcW w:w="2322" w:type="dxa"/>
            <w:tcBorders>
              <w:top w:val="nil"/>
              <w:left w:val="nil"/>
              <w:bottom w:val="nil"/>
              <w:right w:val="nil"/>
            </w:tcBorders>
            <w:shd w:val="clear" w:color="auto" w:fill="FFFFFF"/>
          </w:tcPr>
          <w:p w14:paraId="72F24F9A"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There are clues to action</w:t>
            </w:r>
          </w:p>
        </w:tc>
        <w:tc>
          <w:tcPr>
            <w:tcW w:w="1363" w:type="dxa"/>
            <w:tcBorders>
              <w:top w:val="nil"/>
              <w:left w:val="nil"/>
              <w:bottom w:val="nil"/>
              <w:right w:val="nil"/>
            </w:tcBorders>
            <w:shd w:val="clear" w:color="auto" w:fill="FFFFFF"/>
          </w:tcPr>
          <w:p w14:paraId="54E4BE15"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1</w:t>
            </w:r>
          </w:p>
        </w:tc>
        <w:tc>
          <w:tcPr>
            <w:tcW w:w="1376" w:type="dxa"/>
            <w:vMerge/>
            <w:tcBorders>
              <w:top w:val="nil"/>
              <w:left w:val="nil"/>
              <w:bottom w:val="nil"/>
              <w:right w:val="nil"/>
            </w:tcBorders>
            <w:shd w:val="clear" w:color="auto" w:fill="FFFFFF"/>
          </w:tcPr>
          <w:p w14:paraId="665CFE46"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r>
      <w:tr w:rsidR="00DA4631" w:rsidRPr="00877C4B" w14:paraId="4260CFB5" w14:textId="77777777">
        <w:tc>
          <w:tcPr>
            <w:tcW w:w="1682" w:type="dxa"/>
            <w:vMerge/>
            <w:tcBorders>
              <w:top w:val="nil"/>
              <w:left w:val="nil"/>
              <w:bottom w:val="nil"/>
              <w:right w:val="nil"/>
            </w:tcBorders>
            <w:shd w:val="clear" w:color="auto" w:fill="FFFFFF"/>
          </w:tcPr>
          <w:p w14:paraId="7407BA96"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c>
          <w:tcPr>
            <w:tcW w:w="1616" w:type="dxa"/>
            <w:vMerge/>
            <w:tcBorders>
              <w:top w:val="nil"/>
              <w:left w:val="nil"/>
              <w:bottom w:val="nil"/>
              <w:right w:val="nil"/>
            </w:tcBorders>
            <w:shd w:val="clear" w:color="auto" w:fill="FFFFFF"/>
          </w:tcPr>
          <w:p w14:paraId="678E037A"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c>
          <w:tcPr>
            <w:tcW w:w="2322" w:type="dxa"/>
            <w:tcBorders>
              <w:top w:val="nil"/>
              <w:left w:val="nil"/>
              <w:bottom w:val="nil"/>
              <w:right w:val="nil"/>
            </w:tcBorders>
            <w:shd w:val="clear" w:color="auto" w:fill="FFFFFF"/>
          </w:tcPr>
          <w:p w14:paraId="4E284A3E"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No action clues</w:t>
            </w:r>
          </w:p>
        </w:tc>
        <w:tc>
          <w:tcPr>
            <w:tcW w:w="1363" w:type="dxa"/>
            <w:tcBorders>
              <w:top w:val="nil"/>
              <w:left w:val="nil"/>
              <w:bottom w:val="nil"/>
              <w:right w:val="nil"/>
            </w:tcBorders>
            <w:shd w:val="clear" w:color="auto" w:fill="FFFFFF"/>
          </w:tcPr>
          <w:p w14:paraId="7AB50E14"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0</w:t>
            </w:r>
          </w:p>
        </w:tc>
        <w:tc>
          <w:tcPr>
            <w:tcW w:w="1376" w:type="dxa"/>
            <w:vMerge/>
            <w:tcBorders>
              <w:top w:val="nil"/>
              <w:left w:val="nil"/>
              <w:bottom w:val="nil"/>
              <w:right w:val="nil"/>
            </w:tcBorders>
            <w:shd w:val="clear" w:color="auto" w:fill="FFFFFF"/>
          </w:tcPr>
          <w:p w14:paraId="0EEA0224"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r>
      <w:tr w:rsidR="00DA4631" w:rsidRPr="00877C4B" w14:paraId="759C25E4" w14:textId="77777777">
        <w:tc>
          <w:tcPr>
            <w:tcW w:w="1682" w:type="dxa"/>
            <w:vMerge w:val="restart"/>
            <w:tcBorders>
              <w:top w:val="nil"/>
              <w:left w:val="nil"/>
              <w:bottom w:val="nil"/>
              <w:right w:val="nil"/>
            </w:tcBorders>
            <w:shd w:val="clear" w:color="auto" w:fill="FFFFFF"/>
          </w:tcPr>
          <w:p w14:paraId="170D282D" w14:textId="77777777" w:rsidR="00274063" w:rsidRPr="00877C4B" w:rsidRDefault="007D4ACE" w:rsidP="00DA4631">
            <w:pPr>
              <w:pStyle w:val="aa"/>
              <w:adjustRightInd w:val="0"/>
              <w:snapToGrid w:val="0"/>
              <w:spacing w:line="480" w:lineRule="auto"/>
              <w:ind w:firstLineChars="0" w:firstLine="0"/>
              <w:rPr>
                <w:rFonts w:cs="Times New Roman"/>
                <w:color w:val="000000" w:themeColor="text1"/>
              </w:rPr>
            </w:pPr>
            <w:r w:rsidRPr="00877C4B">
              <w:rPr>
                <w:rFonts w:cs="Times New Roman"/>
                <w:color w:val="000000" w:themeColor="text1"/>
              </w:rPr>
              <w:t>Narrative form</w:t>
            </w:r>
          </w:p>
        </w:tc>
        <w:tc>
          <w:tcPr>
            <w:tcW w:w="1616" w:type="dxa"/>
            <w:vMerge w:val="restart"/>
            <w:tcBorders>
              <w:top w:val="nil"/>
              <w:left w:val="nil"/>
              <w:bottom w:val="nil"/>
              <w:right w:val="nil"/>
            </w:tcBorders>
            <w:shd w:val="clear" w:color="auto" w:fill="FFFFFF"/>
          </w:tcPr>
          <w:p w14:paraId="6ECAFC85" w14:textId="77777777" w:rsidR="00274063" w:rsidRPr="00877C4B" w:rsidRDefault="007D4ACE" w:rsidP="00DA4631">
            <w:pPr>
              <w:pStyle w:val="aa"/>
              <w:adjustRightInd w:val="0"/>
              <w:snapToGrid w:val="0"/>
              <w:spacing w:line="480" w:lineRule="auto"/>
              <w:ind w:firstLineChars="0" w:firstLine="0"/>
              <w:rPr>
                <w:rFonts w:cs="Times New Roman"/>
                <w:color w:val="000000" w:themeColor="text1"/>
              </w:rPr>
            </w:pPr>
            <w:r w:rsidRPr="00877C4B">
              <w:rPr>
                <w:rFonts w:cs="Times New Roman"/>
                <w:color w:val="000000" w:themeColor="text1"/>
              </w:rPr>
              <w:t>Narrative perspective</w:t>
            </w:r>
          </w:p>
        </w:tc>
        <w:tc>
          <w:tcPr>
            <w:tcW w:w="2322" w:type="dxa"/>
            <w:tcBorders>
              <w:top w:val="nil"/>
              <w:left w:val="nil"/>
              <w:bottom w:val="nil"/>
              <w:right w:val="nil"/>
            </w:tcBorders>
            <w:shd w:val="clear" w:color="auto" w:fill="FFFFFF"/>
          </w:tcPr>
          <w:p w14:paraId="7C4660AA"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Immersive narrative perspective</w:t>
            </w:r>
          </w:p>
        </w:tc>
        <w:tc>
          <w:tcPr>
            <w:tcW w:w="1363" w:type="dxa"/>
            <w:tcBorders>
              <w:top w:val="nil"/>
              <w:left w:val="nil"/>
              <w:bottom w:val="nil"/>
              <w:right w:val="nil"/>
            </w:tcBorders>
            <w:shd w:val="clear" w:color="auto" w:fill="FFFFFF"/>
          </w:tcPr>
          <w:p w14:paraId="32F75EC2"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1</w:t>
            </w:r>
          </w:p>
        </w:tc>
        <w:tc>
          <w:tcPr>
            <w:tcW w:w="1376" w:type="dxa"/>
            <w:vMerge/>
            <w:tcBorders>
              <w:top w:val="nil"/>
              <w:left w:val="nil"/>
              <w:bottom w:val="nil"/>
              <w:right w:val="nil"/>
            </w:tcBorders>
            <w:shd w:val="clear" w:color="auto" w:fill="FFFFFF"/>
          </w:tcPr>
          <w:p w14:paraId="56FAFBD6"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r>
      <w:tr w:rsidR="00DA4631" w:rsidRPr="00877C4B" w14:paraId="67689BA9" w14:textId="77777777">
        <w:tc>
          <w:tcPr>
            <w:tcW w:w="1682" w:type="dxa"/>
            <w:vMerge/>
            <w:tcBorders>
              <w:top w:val="nil"/>
              <w:left w:val="nil"/>
              <w:bottom w:val="nil"/>
              <w:right w:val="nil"/>
            </w:tcBorders>
            <w:shd w:val="clear" w:color="auto" w:fill="FFFFFF"/>
          </w:tcPr>
          <w:p w14:paraId="0266A447"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c>
          <w:tcPr>
            <w:tcW w:w="1616" w:type="dxa"/>
            <w:vMerge/>
            <w:tcBorders>
              <w:top w:val="nil"/>
              <w:left w:val="nil"/>
              <w:bottom w:val="nil"/>
              <w:right w:val="nil"/>
            </w:tcBorders>
            <w:shd w:val="clear" w:color="auto" w:fill="FFFFFF"/>
          </w:tcPr>
          <w:p w14:paraId="36B8E26E"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c>
          <w:tcPr>
            <w:tcW w:w="2322" w:type="dxa"/>
            <w:tcBorders>
              <w:top w:val="nil"/>
              <w:left w:val="nil"/>
              <w:bottom w:val="nil"/>
              <w:right w:val="nil"/>
            </w:tcBorders>
            <w:shd w:val="clear" w:color="auto" w:fill="FFFFFF"/>
          </w:tcPr>
          <w:p w14:paraId="6DD35700"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No immersive narrative perspective</w:t>
            </w:r>
          </w:p>
        </w:tc>
        <w:tc>
          <w:tcPr>
            <w:tcW w:w="1363" w:type="dxa"/>
            <w:tcBorders>
              <w:top w:val="nil"/>
              <w:left w:val="nil"/>
              <w:bottom w:val="nil"/>
              <w:right w:val="nil"/>
            </w:tcBorders>
            <w:shd w:val="clear" w:color="auto" w:fill="FFFFFF"/>
          </w:tcPr>
          <w:p w14:paraId="5FBD7EF4"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0</w:t>
            </w:r>
          </w:p>
        </w:tc>
        <w:tc>
          <w:tcPr>
            <w:tcW w:w="1376" w:type="dxa"/>
            <w:vMerge/>
            <w:tcBorders>
              <w:top w:val="nil"/>
              <w:left w:val="nil"/>
              <w:bottom w:val="nil"/>
              <w:right w:val="nil"/>
            </w:tcBorders>
            <w:shd w:val="clear" w:color="auto" w:fill="FFFFFF"/>
          </w:tcPr>
          <w:p w14:paraId="03BC3C79"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r>
      <w:tr w:rsidR="00DA4631" w:rsidRPr="00877C4B" w14:paraId="15A23045" w14:textId="77777777">
        <w:tc>
          <w:tcPr>
            <w:tcW w:w="1682" w:type="dxa"/>
            <w:vMerge/>
            <w:tcBorders>
              <w:top w:val="nil"/>
              <w:left w:val="nil"/>
              <w:bottom w:val="nil"/>
              <w:right w:val="nil"/>
            </w:tcBorders>
            <w:shd w:val="clear" w:color="auto" w:fill="FFFFFF"/>
          </w:tcPr>
          <w:p w14:paraId="33289AF5"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c>
          <w:tcPr>
            <w:tcW w:w="1616" w:type="dxa"/>
            <w:vMerge w:val="restart"/>
            <w:tcBorders>
              <w:top w:val="nil"/>
              <w:left w:val="nil"/>
              <w:bottom w:val="nil"/>
              <w:right w:val="nil"/>
            </w:tcBorders>
            <w:shd w:val="clear" w:color="auto" w:fill="FFFFFF"/>
          </w:tcPr>
          <w:p w14:paraId="37CD6672" w14:textId="77777777" w:rsidR="00274063" w:rsidRPr="00877C4B" w:rsidRDefault="007D4ACE" w:rsidP="00DA4631">
            <w:pPr>
              <w:pStyle w:val="aa"/>
              <w:adjustRightInd w:val="0"/>
              <w:snapToGrid w:val="0"/>
              <w:spacing w:line="480" w:lineRule="auto"/>
              <w:ind w:firstLineChars="0" w:firstLine="0"/>
              <w:rPr>
                <w:rFonts w:cs="Times New Roman"/>
                <w:color w:val="000000" w:themeColor="text1"/>
              </w:rPr>
            </w:pPr>
            <w:r w:rsidRPr="00877C4B">
              <w:rPr>
                <w:rFonts w:cs="Times New Roman"/>
                <w:color w:val="000000" w:themeColor="text1"/>
              </w:rPr>
              <w:t>Narrative duration</w:t>
            </w:r>
          </w:p>
        </w:tc>
        <w:tc>
          <w:tcPr>
            <w:tcW w:w="2322" w:type="dxa"/>
            <w:tcBorders>
              <w:top w:val="nil"/>
              <w:left w:val="nil"/>
              <w:bottom w:val="nil"/>
              <w:right w:val="nil"/>
            </w:tcBorders>
            <w:shd w:val="clear" w:color="auto" w:fill="FFFFFF"/>
          </w:tcPr>
          <w:p w14:paraId="5DDFFB27"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More than 1 minute 50 seconds</w:t>
            </w:r>
          </w:p>
        </w:tc>
        <w:tc>
          <w:tcPr>
            <w:tcW w:w="1363" w:type="dxa"/>
            <w:tcBorders>
              <w:top w:val="nil"/>
              <w:left w:val="nil"/>
              <w:bottom w:val="nil"/>
              <w:right w:val="nil"/>
            </w:tcBorders>
            <w:shd w:val="clear" w:color="auto" w:fill="FFFFFF"/>
          </w:tcPr>
          <w:p w14:paraId="74B2FBE7"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1</w:t>
            </w:r>
          </w:p>
        </w:tc>
        <w:tc>
          <w:tcPr>
            <w:tcW w:w="1376" w:type="dxa"/>
            <w:vMerge/>
            <w:tcBorders>
              <w:top w:val="nil"/>
              <w:left w:val="nil"/>
              <w:bottom w:val="nil"/>
              <w:right w:val="nil"/>
            </w:tcBorders>
            <w:shd w:val="clear" w:color="auto" w:fill="FFFFFF"/>
          </w:tcPr>
          <w:p w14:paraId="1176CCF9"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r>
      <w:tr w:rsidR="00DA4631" w:rsidRPr="00877C4B" w14:paraId="5D70F841" w14:textId="77777777">
        <w:tc>
          <w:tcPr>
            <w:tcW w:w="1682" w:type="dxa"/>
            <w:vMerge/>
            <w:tcBorders>
              <w:top w:val="nil"/>
              <w:left w:val="nil"/>
              <w:bottom w:val="nil"/>
              <w:right w:val="nil"/>
            </w:tcBorders>
            <w:shd w:val="clear" w:color="auto" w:fill="FFFFFF"/>
          </w:tcPr>
          <w:p w14:paraId="0A22894E"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c>
          <w:tcPr>
            <w:tcW w:w="1616" w:type="dxa"/>
            <w:vMerge/>
            <w:tcBorders>
              <w:top w:val="nil"/>
              <w:left w:val="nil"/>
              <w:bottom w:val="nil"/>
              <w:right w:val="nil"/>
            </w:tcBorders>
            <w:shd w:val="clear" w:color="auto" w:fill="FFFFFF"/>
          </w:tcPr>
          <w:p w14:paraId="69FA3EB0"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c>
          <w:tcPr>
            <w:tcW w:w="2322" w:type="dxa"/>
            <w:tcBorders>
              <w:top w:val="nil"/>
              <w:left w:val="nil"/>
              <w:bottom w:val="nil"/>
              <w:right w:val="nil"/>
            </w:tcBorders>
            <w:shd w:val="clear" w:color="auto" w:fill="FFFFFF"/>
          </w:tcPr>
          <w:p w14:paraId="4043DF79"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Less than 1 minute 50 seconds</w:t>
            </w:r>
          </w:p>
        </w:tc>
        <w:tc>
          <w:tcPr>
            <w:tcW w:w="1363" w:type="dxa"/>
            <w:tcBorders>
              <w:top w:val="nil"/>
              <w:left w:val="nil"/>
              <w:bottom w:val="nil"/>
              <w:right w:val="nil"/>
            </w:tcBorders>
            <w:shd w:val="clear" w:color="auto" w:fill="FFFFFF"/>
          </w:tcPr>
          <w:p w14:paraId="06E0F044"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0</w:t>
            </w:r>
          </w:p>
        </w:tc>
        <w:tc>
          <w:tcPr>
            <w:tcW w:w="1376" w:type="dxa"/>
            <w:vMerge/>
            <w:tcBorders>
              <w:top w:val="nil"/>
              <w:left w:val="nil"/>
              <w:bottom w:val="nil"/>
              <w:right w:val="nil"/>
            </w:tcBorders>
            <w:shd w:val="clear" w:color="auto" w:fill="FFFFFF"/>
          </w:tcPr>
          <w:p w14:paraId="7E6E02DE"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r>
      <w:tr w:rsidR="00DA4631" w:rsidRPr="00877C4B" w14:paraId="337357DA" w14:textId="77777777">
        <w:tc>
          <w:tcPr>
            <w:tcW w:w="1682" w:type="dxa"/>
            <w:vMerge/>
            <w:tcBorders>
              <w:top w:val="nil"/>
              <w:left w:val="nil"/>
              <w:bottom w:val="nil"/>
              <w:right w:val="nil"/>
            </w:tcBorders>
            <w:shd w:val="clear" w:color="auto" w:fill="FFFFFF"/>
          </w:tcPr>
          <w:p w14:paraId="51F0CE52"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c>
          <w:tcPr>
            <w:tcW w:w="1616" w:type="dxa"/>
            <w:vMerge w:val="restart"/>
            <w:tcBorders>
              <w:top w:val="nil"/>
              <w:left w:val="nil"/>
              <w:bottom w:val="nil"/>
              <w:right w:val="nil"/>
            </w:tcBorders>
            <w:shd w:val="clear" w:color="auto" w:fill="FFFFFF"/>
          </w:tcPr>
          <w:p w14:paraId="1E281188" w14:textId="77777777" w:rsidR="00274063" w:rsidRPr="00877C4B" w:rsidRDefault="007D4ACE" w:rsidP="00DA4631">
            <w:pPr>
              <w:pStyle w:val="aa"/>
              <w:adjustRightInd w:val="0"/>
              <w:snapToGrid w:val="0"/>
              <w:spacing w:line="480" w:lineRule="auto"/>
              <w:ind w:firstLineChars="0" w:firstLine="0"/>
              <w:rPr>
                <w:rFonts w:cs="Times New Roman"/>
                <w:color w:val="000000" w:themeColor="text1"/>
              </w:rPr>
            </w:pPr>
            <w:r w:rsidRPr="00877C4B">
              <w:rPr>
                <w:rFonts w:cs="Times New Roman"/>
                <w:color w:val="000000" w:themeColor="text1"/>
              </w:rPr>
              <w:t>Narrative style</w:t>
            </w:r>
          </w:p>
        </w:tc>
        <w:tc>
          <w:tcPr>
            <w:tcW w:w="2322" w:type="dxa"/>
            <w:tcBorders>
              <w:top w:val="nil"/>
              <w:left w:val="nil"/>
              <w:bottom w:val="nil"/>
              <w:right w:val="nil"/>
            </w:tcBorders>
            <w:shd w:val="clear" w:color="auto" w:fill="FFFFFF"/>
          </w:tcPr>
          <w:p w14:paraId="02355DE9"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Lighthearted and humorous</w:t>
            </w:r>
          </w:p>
        </w:tc>
        <w:tc>
          <w:tcPr>
            <w:tcW w:w="1363" w:type="dxa"/>
            <w:tcBorders>
              <w:top w:val="nil"/>
              <w:left w:val="nil"/>
              <w:bottom w:val="nil"/>
              <w:right w:val="nil"/>
            </w:tcBorders>
            <w:shd w:val="clear" w:color="auto" w:fill="FFFFFF"/>
          </w:tcPr>
          <w:p w14:paraId="54605C68"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1</w:t>
            </w:r>
          </w:p>
        </w:tc>
        <w:tc>
          <w:tcPr>
            <w:tcW w:w="1376" w:type="dxa"/>
            <w:vMerge/>
            <w:tcBorders>
              <w:top w:val="nil"/>
              <w:left w:val="nil"/>
              <w:bottom w:val="nil"/>
              <w:right w:val="nil"/>
            </w:tcBorders>
            <w:shd w:val="clear" w:color="auto" w:fill="FFFFFF"/>
          </w:tcPr>
          <w:p w14:paraId="0FC5D46F"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r>
      <w:tr w:rsidR="00DA4631" w:rsidRPr="00877C4B" w14:paraId="71BF2973" w14:textId="77777777">
        <w:tc>
          <w:tcPr>
            <w:tcW w:w="1682" w:type="dxa"/>
            <w:vMerge/>
            <w:tcBorders>
              <w:top w:val="nil"/>
              <w:left w:val="nil"/>
              <w:bottom w:val="nil"/>
              <w:right w:val="nil"/>
            </w:tcBorders>
            <w:shd w:val="clear" w:color="auto" w:fill="FFFFFF"/>
          </w:tcPr>
          <w:p w14:paraId="6AFE2281"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c>
          <w:tcPr>
            <w:tcW w:w="1616" w:type="dxa"/>
            <w:vMerge/>
            <w:tcBorders>
              <w:top w:val="nil"/>
              <w:left w:val="nil"/>
              <w:bottom w:val="nil"/>
              <w:right w:val="nil"/>
            </w:tcBorders>
            <w:shd w:val="clear" w:color="auto" w:fill="FFFFFF"/>
          </w:tcPr>
          <w:p w14:paraId="327EA6AD"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c>
          <w:tcPr>
            <w:tcW w:w="2322" w:type="dxa"/>
            <w:tcBorders>
              <w:top w:val="nil"/>
              <w:left w:val="nil"/>
              <w:bottom w:val="nil"/>
              <w:right w:val="nil"/>
            </w:tcBorders>
            <w:shd w:val="clear" w:color="auto" w:fill="FFFFFF"/>
          </w:tcPr>
          <w:p w14:paraId="3FCCFF68"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Serious and rational</w:t>
            </w:r>
          </w:p>
        </w:tc>
        <w:tc>
          <w:tcPr>
            <w:tcW w:w="1363" w:type="dxa"/>
            <w:tcBorders>
              <w:top w:val="nil"/>
              <w:left w:val="nil"/>
              <w:bottom w:val="nil"/>
              <w:right w:val="nil"/>
            </w:tcBorders>
            <w:shd w:val="clear" w:color="auto" w:fill="FFFFFF"/>
          </w:tcPr>
          <w:p w14:paraId="366F1A57"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0</w:t>
            </w:r>
          </w:p>
        </w:tc>
        <w:tc>
          <w:tcPr>
            <w:tcW w:w="1376" w:type="dxa"/>
            <w:vMerge/>
            <w:tcBorders>
              <w:top w:val="nil"/>
              <w:left w:val="nil"/>
              <w:bottom w:val="nil"/>
              <w:right w:val="nil"/>
            </w:tcBorders>
            <w:shd w:val="clear" w:color="auto" w:fill="FFFFFF"/>
          </w:tcPr>
          <w:p w14:paraId="5F52421D"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r>
      <w:tr w:rsidR="00DA4631" w:rsidRPr="00877C4B" w14:paraId="4C73A29E" w14:textId="77777777">
        <w:tc>
          <w:tcPr>
            <w:tcW w:w="1682" w:type="dxa"/>
            <w:vMerge/>
            <w:tcBorders>
              <w:top w:val="nil"/>
              <w:left w:val="nil"/>
              <w:bottom w:val="nil"/>
              <w:right w:val="nil"/>
            </w:tcBorders>
            <w:shd w:val="clear" w:color="auto" w:fill="FFFFFF"/>
          </w:tcPr>
          <w:p w14:paraId="4DA61597"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c>
          <w:tcPr>
            <w:tcW w:w="1616" w:type="dxa"/>
            <w:vMerge w:val="restart"/>
            <w:tcBorders>
              <w:top w:val="nil"/>
              <w:left w:val="nil"/>
              <w:bottom w:val="nil"/>
              <w:right w:val="nil"/>
            </w:tcBorders>
            <w:shd w:val="clear" w:color="auto" w:fill="FFFFFF"/>
          </w:tcPr>
          <w:p w14:paraId="77972296" w14:textId="77777777" w:rsidR="00274063" w:rsidRPr="00877C4B" w:rsidRDefault="007D4ACE" w:rsidP="00DA4631">
            <w:pPr>
              <w:pStyle w:val="aa"/>
              <w:adjustRightInd w:val="0"/>
              <w:snapToGrid w:val="0"/>
              <w:spacing w:line="480" w:lineRule="auto"/>
              <w:ind w:firstLineChars="0" w:firstLine="0"/>
              <w:rPr>
                <w:rFonts w:cs="Times New Roman"/>
                <w:color w:val="000000" w:themeColor="text1"/>
              </w:rPr>
            </w:pPr>
            <w:r w:rsidRPr="00877C4B">
              <w:rPr>
                <w:rFonts w:cs="Times New Roman"/>
                <w:color w:val="000000" w:themeColor="text1"/>
              </w:rPr>
              <w:t>Drama Features</w:t>
            </w:r>
          </w:p>
        </w:tc>
        <w:tc>
          <w:tcPr>
            <w:tcW w:w="2322" w:type="dxa"/>
            <w:tcBorders>
              <w:top w:val="nil"/>
              <w:left w:val="nil"/>
              <w:bottom w:val="nil"/>
              <w:right w:val="nil"/>
            </w:tcBorders>
            <w:shd w:val="clear" w:color="auto" w:fill="FFFFFF"/>
          </w:tcPr>
          <w:p w14:paraId="7C16C16F"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Has dramatic features</w:t>
            </w:r>
          </w:p>
        </w:tc>
        <w:tc>
          <w:tcPr>
            <w:tcW w:w="1363" w:type="dxa"/>
            <w:tcBorders>
              <w:top w:val="nil"/>
              <w:left w:val="nil"/>
              <w:bottom w:val="nil"/>
              <w:right w:val="nil"/>
            </w:tcBorders>
            <w:shd w:val="clear" w:color="auto" w:fill="FFFFFF"/>
          </w:tcPr>
          <w:p w14:paraId="1007C3BA"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1</w:t>
            </w:r>
          </w:p>
        </w:tc>
        <w:tc>
          <w:tcPr>
            <w:tcW w:w="1376" w:type="dxa"/>
            <w:vMerge/>
            <w:tcBorders>
              <w:top w:val="nil"/>
              <w:left w:val="nil"/>
              <w:bottom w:val="nil"/>
              <w:right w:val="nil"/>
            </w:tcBorders>
            <w:shd w:val="clear" w:color="auto" w:fill="FFFFFF"/>
          </w:tcPr>
          <w:p w14:paraId="14EC688D"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r>
      <w:tr w:rsidR="00DA4631" w:rsidRPr="00877C4B" w14:paraId="1AD511EE" w14:textId="77777777">
        <w:tc>
          <w:tcPr>
            <w:tcW w:w="1682" w:type="dxa"/>
            <w:vMerge/>
            <w:tcBorders>
              <w:top w:val="nil"/>
              <w:left w:val="nil"/>
              <w:bottom w:val="nil"/>
              <w:right w:val="nil"/>
            </w:tcBorders>
            <w:shd w:val="clear" w:color="auto" w:fill="FFFFFF"/>
          </w:tcPr>
          <w:p w14:paraId="0B32667C"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c>
          <w:tcPr>
            <w:tcW w:w="1616" w:type="dxa"/>
            <w:vMerge/>
            <w:tcBorders>
              <w:top w:val="nil"/>
              <w:left w:val="nil"/>
              <w:bottom w:val="nil"/>
              <w:right w:val="nil"/>
            </w:tcBorders>
            <w:shd w:val="clear" w:color="auto" w:fill="FFFFFF"/>
          </w:tcPr>
          <w:p w14:paraId="279269C8"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c>
          <w:tcPr>
            <w:tcW w:w="2322" w:type="dxa"/>
            <w:tcBorders>
              <w:top w:val="nil"/>
              <w:left w:val="nil"/>
              <w:bottom w:val="nil"/>
              <w:right w:val="nil"/>
            </w:tcBorders>
            <w:shd w:val="clear" w:color="auto" w:fill="FFFFFF"/>
          </w:tcPr>
          <w:p w14:paraId="36F0E31E"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No dramatic features</w:t>
            </w:r>
          </w:p>
        </w:tc>
        <w:tc>
          <w:tcPr>
            <w:tcW w:w="1363" w:type="dxa"/>
            <w:tcBorders>
              <w:top w:val="nil"/>
              <w:left w:val="nil"/>
              <w:bottom w:val="nil"/>
              <w:right w:val="nil"/>
            </w:tcBorders>
            <w:shd w:val="clear" w:color="auto" w:fill="FFFFFF"/>
          </w:tcPr>
          <w:p w14:paraId="5245B7FC"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0</w:t>
            </w:r>
          </w:p>
        </w:tc>
        <w:tc>
          <w:tcPr>
            <w:tcW w:w="1376" w:type="dxa"/>
            <w:vMerge/>
            <w:tcBorders>
              <w:top w:val="nil"/>
              <w:left w:val="nil"/>
              <w:bottom w:val="nil"/>
              <w:right w:val="nil"/>
            </w:tcBorders>
            <w:shd w:val="clear" w:color="auto" w:fill="FFFFFF"/>
          </w:tcPr>
          <w:p w14:paraId="57B02054"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r>
      <w:tr w:rsidR="00DA4631" w:rsidRPr="00877C4B" w14:paraId="0A7EF4C9" w14:textId="77777777">
        <w:tc>
          <w:tcPr>
            <w:tcW w:w="1682" w:type="dxa"/>
            <w:vMerge w:val="restart"/>
            <w:tcBorders>
              <w:top w:val="nil"/>
              <w:left w:val="nil"/>
              <w:bottom w:val="nil"/>
              <w:right w:val="nil"/>
            </w:tcBorders>
            <w:shd w:val="clear" w:color="auto" w:fill="FFFFFF"/>
          </w:tcPr>
          <w:p w14:paraId="7B1DA203" w14:textId="77777777" w:rsidR="00274063" w:rsidRPr="00877C4B" w:rsidRDefault="007D4ACE" w:rsidP="00DA4631">
            <w:pPr>
              <w:pStyle w:val="aa"/>
              <w:adjustRightInd w:val="0"/>
              <w:snapToGrid w:val="0"/>
              <w:spacing w:line="480" w:lineRule="auto"/>
              <w:ind w:firstLineChars="0" w:firstLine="0"/>
              <w:rPr>
                <w:rFonts w:cs="Times New Roman"/>
                <w:color w:val="000000" w:themeColor="text1"/>
              </w:rPr>
            </w:pPr>
            <w:r w:rsidRPr="00877C4B">
              <w:rPr>
                <w:rFonts w:cs="Times New Roman"/>
                <w:color w:val="000000" w:themeColor="text1"/>
              </w:rPr>
              <w:t>Narrative Subject</w:t>
            </w:r>
          </w:p>
        </w:tc>
        <w:tc>
          <w:tcPr>
            <w:tcW w:w="1616" w:type="dxa"/>
            <w:vMerge w:val="restart"/>
            <w:tcBorders>
              <w:top w:val="nil"/>
              <w:left w:val="nil"/>
              <w:bottom w:val="nil"/>
              <w:right w:val="nil"/>
            </w:tcBorders>
            <w:shd w:val="clear" w:color="auto" w:fill="FFFFFF"/>
          </w:tcPr>
          <w:p w14:paraId="3ADD4307" w14:textId="77777777" w:rsidR="00274063" w:rsidRPr="00877C4B" w:rsidRDefault="007D4ACE" w:rsidP="00DA4631">
            <w:pPr>
              <w:pStyle w:val="aa"/>
              <w:adjustRightInd w:val="0"/>
              <w:snapToGrid w:val="0"/>
              <w:spacing w:line="480" w:lineRule="auto"/>
              <w:ind w:firstLineChars="0" w:firstLine="0"/>
              <w:rPr>
                <w:rFonts w:cs="Times New Roman"/>
                <w:color w:val="000000" w:themeColor="text1"/>
              </w:rPr>
            </w:pPr>
            <w:r w:rsidRPr="00877C4B">
              <w:rPr>
                <w:rFonts w:cs="Times New Roman"/>
                <w:color w:val="000000" w:themeColor="text1"/>
              </w:rPr>
              <w:t>Doctor-patient</w:t>
            </w:r>
          </w:p>
        </w:tc>
        <w:tc>
          <w:tcPr>
            <w:tcW w:w="2322" w:type="dxa"/>
            <w:tcBorders>
              <w:top w:val="nil"/>
              <w:left w:val="nil"/>
              <w:bottom w:val="nil"/>
              <w:right w:val="nil"/>
            </w:tcBorders>
            <w:shd w:val="clear" w:color="auto" w:fill="FFFFFF"/>
          </w:tcPr>
          <w:p w14:paraId="556139C9"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Doctor-patient narrative</w:t>
            </w:r>
          </w:p>
        </w:tc>
        <w:tc>
          <w:tcPr>
            <w:tcW w:w="1363" w:type="dxa"/>
            <w:tcBorders>
              <w:top w:val="nil"/>
              <w:left w:val="nil"/>
              <w:bottom w:val="nil"/>
              <w:right w:val="nil"/>
            </w:tcBorders>
            <w:shd w:val="clear" w:color="auto" w:fill="FFFFFF"/>
          </w:tcPr>
          <w:p w14:paraId="0DF2B07C"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1</w:t>
            </w:r>
          </w:p>
        </w:tc>
        <w:tc>
          <w:tcPr>
            <w:tcW w:w="1376" w:type="dxa"/>
            <w:vMerge/>
            <w:tcBorders>
              <w:top w:val="nil"/>
              <w:left w:val="nil"/>
              <w:bottom w:val="nil"/>
              <w:right w:val="nil"/>
            </w:tcBorders>
            <w:shd w:val="clear" w:color="auto" w:fill="FFFFFF"/>
          </w:tcPr>
          <w:p w14:paraId="32693E12"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r>
      <w:tr w:rsidR="00DA4631" w:rsidRPr="00877C4B" w14:paraId="608B26B5" w14:textId="77777777">
        <w:tc>
          <w:tcPr>
            <w:tcW w:w="1682" w:type="dxa"/>
            <w:vMerge/>
            <w:tcBorders>
              <w:top w:val="nil"/>
              <w:left w:val="nil"/>
              <w:bottom w:val="nil"/>
              <w:right w:val="nil"/>
            </w:tcBorders>
            <w:shd w:val="clear" w:color="auto" w:fill="FFFFFF"/>
          </w:tcPr>
          <w:p w14:paraId="438177FE"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c>
          <w:tcPr>
            <w:tcW w:w="1616" w:type="dxa"/>
            <w:vMerge/>
            <w:tcBorders>
              <w:top w:val="nil"/>
              <w:left w:val="nil"/>
              <w:bottom w:val="nil"/>
              <w:right w:val="nil"/>
            </w:tcBorders>
            <w:shd w:val="clear" w:color="auto" w:fill="FFFFFF"/>
          </w:tcPr>
          <w:p w14:paraId="58E53539"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c>
          <w:tcPr>
            <w:tcW w:w="2322" w:type="dxa"/>
            <w:tcBorders>
              <w:top w:val="nil"/>
              <w:left w:val="nil"/>
              <w:bottom w:val="nil"/>
              <w:right w:val="nil"/>
            </w:tcBorders>
            <w:shd w:val="clear" w:color="auto" w:fill="FFFFFF"/>
          </w:tcPr>
          <w:p w14:paraId="6C379F66"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 xml:space="preserve">No doctor-patient </w:t>
            </w:r>
            <w:r w:rsidRPr="00877C4B">
              <w:rPr>
                <w:rFonts w:ascii="Times New Roman" w:hAnsi="Times New Roman" w:cs="Times New Roman"/>
                <w:color w:val="000000" w:themeColor="text1"/>
              </w:rPr>
              <w:lastRenderedPageBreak/>
              <w:t>narrative</w:t>
            </w:r>
          </w:p>
        </w:tc>
        <w:tc>
          <w:tcPr>
            <w:tcW w:w="1363" w:type="dxa"/>
            <w:tcBorders>
              <w:top w:val="nil"/>
              <w:left w:val="nil"/>
              <w:bottom w:val="nil"/>
              <w:right w:val="nil"/>
            </w:tcBorders>
            <w:shd w:val="clear" w:color="auto" w:fill="FFFFFF"/>
          </w:tcPr>
          <w:p w14:paraId="2CEB0823"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lastRenderedPageBreak/>
              <w:t>0</w:t>
            </w:r>
          </w:p>
        </w:tc>
        <w:tc>
          <w:tcPr>
            <w:tcW w:w="1376" w:type="dxa"/>
            <w:vMerge/>
            <w:tcBorders>
              <w:top w:val="nil"/>
              <w:left w:val="nil"/>
              <w:bottom w:val="nil"/>
              <w:right w:val="nil"/>
            </w:tcBorders>
            <w:shd w:val="clear" w:color="auto" w:fill="FFFFFF"/>
          </w:tcPr>
          <w:p w14:paraId="4FA3F8C3"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r>
      <w:tr w:rsidR="00DA4631" w:rsidRPr="00877C4B" w14:paraId="0531CB0E" w14:textId="77777777">
        <w:tc>
          <w:tcPr>
            <w:tcW w:w="1682" w:type="dxa"/>
            <w:vMerge w:val="restart"/>
            <w:tcBorders>
              <w:top w:val="nil"/>
              <w:left w:val="nil"/>
              <w:bottom w:val="nil"/>
              <w:right w:val="nil"/>
            </w:tcBorders>
            <w:shd w:val="clear" w:color="auto" w:fill="FFFFFF"/>
          </w:tcPr>
          <w:p w14:paraId="5558CDBC" w14:textId="77777777" w:rsidR="00274063" w:rsidRPr="00877C4B" w:rsidRDefault="007D4ACE" w:rsidP="00DA4631">
            <w:pPr>
              <w:pStyle w:val="aa"/>
              <w:adjustRightInd w:val="0"/>
              <w:snapToGrid w:val="0"/>
              <w:spacing w:line="480" w:lineRule="auto"/>
              <w:ind w:firstLineChars="0" w:firstLine="0"/>
              <w:rPr>
                <w:rFonts w:cs="Times New Roman"/>
                <w:color w:val="000000" w:themeColor="text1"/>
              </w:rPr>
            </w:pPr>
            <w:r w:rsidRPr="00877C4B">
              <w:rPr>
                <w:rFonts w:cs="Times New Roman"/>
                <w:color w:val="000000" w:themeColor="text1"/>
              </w:rPr>
              <w:t>Audiovisual language</w:t>
            </w:r>
          </w:p>
        </w:tc>
        <w:tc>
          <w:tcPr>
            <w:tcW w:w="1616" w:type="dxa"/>
            <w:vMerge w:val="restart"/>
            <w:tcBorders>
              <w:top w:val="nil"/>
              <w:left w:val="nil"/>
              <w:bottom w:val="nil"/>
              <w:right w:val="nil"/>
            </w:tcBorders>
            <w:shd w:val="clear" w:color="auto" w:fill="FFFFFF"/>
          </w:tcPr>
          <w:p w14:paraId="4AD99949" w14:textId="77777777" w:rsidR="00274063" w:rsidRPr="00877C4B" w:rsidRDefault="007D4ACE" w:rsidP="00DA4631">
            <w:pPr>
              <w:pStyle w:val="aa"/>
              <w:adjustRightInd w:val="0"/>
              <w:snapToGrid w:val="0"/>
              <w:spacing w:line="480" w:lineRule="auto"/>
              <w:ind w:firstLineChars="0" w:firstLine="0"/>
              <w:rPr>
                <w:rFonts w:cs="Times New Roman"/>
                <w:color w:val="000000" w:themeColor="text1"/>
              </w:rPr>
            </w:pPr>
            <w:r w:rsidRPr="00877C4B">
              <w:rPr>
                <w:rFonts w:cs="Times New Roman"/>
                <w:color w:val="000000" w:themeColor="text1"/>
              </w:rPr>
              <w:t>Multimedia packaging</w:t>
            </w:r>
          </w:p>
        </w:tc>
        <w:tc>
          <w:tcPr>
            <w:tcW w:w="2322" w:type="dxa"/>
            <w:tcBorders>
              <w:top w:val="nil"/>
              <w:left w:val="nil"/>
              <w:bottom w:val="nil"/>
              <w:right w:val="nil"/>
            </w:tcBorders>
            <w:shd w:val="clear" w:color="auto" w:fill="FFFFFF"/>
          </w:tcPr>
          <w:p w14:paraId="18DA6641"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With technical packaging</w:t>
            </w:r>
          </w:p>
        </w:tc>
        <w:tc>
          <w:tcPr>
            <w:tcW w:w="1363" w:type="dxa"/>
            <w:tcBorders>
              <w:top w:val="nil"/>
              <w:left w:val="nil"/>
              <w:bottom w:val="nil"/>
              <w:right w:val="nil"/>
            </w:tcBorders>
            <w:shd w:val="clear" w:color="auto" w:fill="FFFFFF"/>
          </w:tcPr>
          <w:p w14:paraId="0D919233"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1</w:t>
            </w:r>
          </w:p>
        </w:tc>
        <w:tc>
          <w:tcPr>
            <w:tcW w:w="1376" w:type="dxa"/>
            <w:vMerge/>
            <w:tcBorders>
              <w:top w:val="nil"/>
              <w:left w:val="nil"/>
              <w:bottom w:val="nil"/>
              <w:right w:val="nil"/>
            </w:tcBorders>
            <w:shd w:val="clear" w:color="auto" w:fill="FFFFFF"/>
          </w:tcPr>
          <w:p w14:paraId="24A2660D"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r>
      <w:tr w:rsidR="00DA4631" w:rsidRPr="00877C4B" w14:paraId="64956A39" w14:textId="77777777">
        <w:tc>
          <w:tcPr>
            <w:tcW w:w="1682" w:type="dxa"/>
            <w:vMerge/>
            <w:tcBorders>
              <w:top w:val="nil"/>
              <w:left w:val="nil"/>
              <w:bottom w:val="nil"/>
              <w:right w:val="nil"/>
            </w:tcBorders>
            <w:shd w:val="clear" w:color="auto" w:fill="FFFFFF"/>
          </w:tcPr>
          <w:p w14:paraId="624792C1"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c>
          <w:tcPr>
            <w:tcW w:w="1616" w:type="dxa"/>
            <w:vMerge/>
            <w:tcBorders>
              <w:top w:val="nil"/>
              <w:left w:val="nil"/>
              <w:bottom w:val="nil"/>
              <w:right w:val="nil"/>
            </w:tcBorders>
            <w:shd w:val="clear" w:color="auto" w:fill="FFFFFF"/>
          </w:tcPr>
          <w:p w14:paraId="6ED5D891"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c>
          <w:tcPr>
            <w:tcW w:w="2322" w:type="dxa"/>
            <w:tcBorders>
              <w:top w:val="nil"/>
              <w:left w:val="nil"/>
              <w:bottom w:val="nil"/>
              <w:right w:val="nil"/>
            </w:tcBorders>
            <w:shd w:val="clear" w:color="auto" w:fill="FFFFFF"/>
          </w:tcPr>
          <w:p w14:paraId="1CE22671"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No-tech packaging</w:t>
            </w:r>
          </w:p>
        </w:tc>
        <w:tc>
          <w:tcPr>
            <w:tcW w:w="1363" w:type="dxa"/>
            <w:tcBorders>
              <w:top w:val="nil"/>
              <w:left w:val="nil"/>
              <w:bottom w:val="nil"/>
              <w:right w:val="nil"/>
            </w:tcBorders>
            <w:shd w:val="clear" w:color="auto" w:fill="FFFFFF"/>
          </w:tcPr>
          <w:p w14:paraId="2AE988F4"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0</w:t>
            </w:r>
          </w:p>
        </w:tc>
        <w:tc>
          <w:tcPr>
            <w:tcW w:w="1376" w:type="dxa"/>
            <w:vMerge/>
            <w:tcBorders>
              <w:top w:val="nil"/>
              <w:left w:val="nil"/>
              <w:bottom w:val="nil"/>
              <w:right w:val="nil"/>
            </w:tcBorders>
            <w:shd w:val="clear" w:color="auto" w:fill="FFFFFF"/>
          </w:tcPr>
          <w:p w14:paraId="5C37D28E"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r>
      <w:tr w:rsidR="00DA4631" w:rsidRPr="00877C4B" w14:paraId="61465D6A" w14:textId="77777777">
        <w:tc>
          <w:tcPr>
            <w:tcW w:w="3298" w:type="dxa"/>
            <w:gridSpan w:val="2"/>
            <w:vMerge w:val="restart"/>
            <w:tcBorders>
              <w:top w:val="nil"/>
              <w:left w:val="nil"/>
              <w:bottom w:val="nil"/>
              <w:right w:val="nil"/>
            </w:tcBorders>
            <w:shd w:val="clear" w:color="auto" w:fill="FFFFFF"/>
          </w:tcPr>
          <w:p w14:paraId="53190856" w14:textId="77777777" w:rsidR="00274063" w:rsidRPr="00877C4B" w:rsidRDefault="007D4ACE" w:rsidP="00DA4631">
            <w:pPr>
              <w:pStyle w:val="aa"/>
              <w:adjustRightInd w:val="0"/>
              <w:snapToGrid w:val="0"/>
              <w:spacing w:line="480" w:lineRule="auto"/>
              <w:ind w:firstLine="480"/>
              <w:rPr>
                <w:rFonts w:cs="Times New Roman"/>
                <w:color w:val="000000" w:themeColor="text1"/>
              </w:rPr>
            </w:pPr>
            <w:r w:rsidRPr="00877C4B">
              <w:rPr>
                <w:rFonts w:cs="Times New Roman"/>
                <w:color w:val="000000" w:themeColor="text1"/>
              </w:rPr>
              <w:t>Communication effect</w:t>
            </w:r>
          </w:p>
        </w:tc>
        <w:tc>
          <w:tcPr>
            <w:tcW w:w="2322" w:type="dxa"/>
            <w:tcBorders>
              <w:top w:val="nil"/>
              <w:left w:val="nil"/>
              <w:bottom w:val="nil"/>
              <w:right w:val="nil"/>
            </w:tcBorders>
            <w:shd w:val="clear" w:color="auto" w:fill="FFFFFF"/>
          </w:tcPr>
          <w:p w14:paraId="0261C036"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Greater than 1 2401</w:t>
            </w:r>
          </w:p>
        </w:tc>
        <w:tc>
          <w:tcPr>
            <w:tcW w:w="1363" w:type="dxa"/>
            <w:tcBorders>
              <w:top w:val="nil"/>
              <w:left w:val="nil"/>
              <w:bottom w:val="nil"/>
              <w:right w:val="nil"/>
            </w:tcBorders>
            <w:shd w:val="clear" w:color="auto" w:fill="FFFFFF"/>
          </w:tcPr>
          <w:p w14:paraId="7B17797B"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1</w:t>
            </w:r>
          </w:p>
        </w:tc>
        <w:tc>
          <w:tcPr>
            <w:tcW w:w="1376" w:type="dxa"/>
            <w:vMerge w:val="restart"/>
            <w:tcBorders>
              <w:top w:val="nil"/>
              <w:left w:val="nil"/>
              <w:bottom w:val="nil"/>
              <w:right w:val="nil"/>
            </w:tcBorders>
            <w:shd w:val="clear" w:color="auto" w:fill="FFFFFF"/>
          </w:tcPr>
          <w:p w14:paraId="4E9C67C9" w14:textId="77777777" w:rsidR="00274063" w:rsidRPr="00877C4B" w:rsidRDefault="007D4ACE" w:rsidP="00DA4631">
            <w:pPr>
              <w:pStyle w:val="aa"/>
              <w:adjustRightInd w:val="0"/>
              <w:snapToGrid w:val="0"/>
              <w:spacing w:line="480" w:lineRule="auto"/>
              <w:ind w:firstLineChars="0" w:firstLine="0"/>
              <w:rPr>
                <w:rFonts w:cs="Times New Roman"/>
                <w:color w:val="000000" w:themeColor="text1"/>
              </w:rPr>
            </w:pPr>
            <w:r w:rsidRPr="00877C4B">
              <w:rPr>
                <w:rFonts w:cs="Times New Roman"/>
                <w:color w:val="000000" w:themeColor="text1"/>
              </w:rPr>
              <w:t>Outcome Variable</w:t>
            </w:r>
          </w:p>
        </w:tc>
      </w:tr>
      <w:tr w:rsidR="00DA4631" w:rsidRPr="00877C4B" w14:paraId="060F3D78" w14:textId="77777777">
        <w:tc>
          <w:tcPr>
            <w:tcW w:w="3298" w:type="dxa"/>
            <w:gridSpan w:val="2"/>
            <w:vMerge/>
            <w:tcBorders>
              <w:top w:val="nil"/>
              <w:left w:val="nil"/>
              <w:bottom w:val="single" w:sz="12" w:space="0" w:color="000000"/>
              <w:right w:val="nil"/>
            </w:tcBorders>
            <w:shd w:val="clear" w:color="auto" w:fill="FFFFFF"/>
          </w:tcPr>
          <w:p w14:paraId="637A8BB7"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c>
          <w:tcPr>
            <w:tcW w:w="2322" w:type="dxa"/>
            <w:tcBorders>
              <w:top w:val="nil"/>
              <w:left w:val="nil"/>
              <w:bottom w:val="single" w:sz="12" w:space="0" w:color="000000"/>
              <w:right w:val="nil"/>
            </w:tcBorders>
            <w:shd w:val="clear" w:color="auto" w:fill="FFFFFF"/>
          </w:tcPr>
          <w:p w14:paraId="6F4ECE02"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Less than 1 2401</w:t>
            </w:r>
          </w:p>
        </w:tc>
        <w:tc>
          <w:tcPr>
            <w:tcW w:w="1363" w:type="dxa"/>
            <w:tcBorders>
              <w:top w:val="nil"/>
              <w:left w:val="nil"/>
              <w:bottom w:val="single" w:sz="12" w:space="0" w:color="000000"/>
              <w:right w:val="nil"/>
            </w:tcBorders>
            <w:shd w:val="clear" w:color="auto" w:fill="FFFFFF"/>
          </w:tcPr>
          <w:p w14:paraId="3D421D76"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0</w:t>
            </w:r>
          </w:p>
        </w:tc>
        <w:tc>
          <w:tcPr>
            <w:tcW w:w="1376" w:type="dxa"/>
            <w:vMerge/>
            <w:tcBorders>
              <w:top w:val="nil"/>
              <w:left w:val="nil"/>
              <w:bottom w:val="single" w:sz="12" w:space="0" w:color="000000"/>
              <w:right w:val="nil"/>
            </w:tcBorders>
            <w:shd w:val="clear" w:color="auto" w:fill="FFFFFF"/>
          </w:tcPr>
          <w:p w14:paraId="2C70FFBA" w14:textId="77777777" w:rsidR="00274063" w:rsidRPr="00877C4B" w:rsidRDefault="00274063" w:rsidP="00DA4631">
            <w:pPr>
              <w:pStyle w:val="aa"/>
              <w:adjustRightInd w:val="0"/>
              <w:snapToGrid w:val="0"/>
              <w:spacing w:line="480" w:lineRule="auto"/>
              <w:ind w:firstLine="480"/>
              <w:rPr>
                <w:rFonts w:cs="Times New Roman"/>
                <w:color w:val="000000" w:themeColor="text1"/>
              </w:rPr>
            </w:pPr>
          </w:p>
        </w:tc>
      </w:tr>
    </w:tbl>
    <w:p w14:paraId="06DBCB7A" w14:textId="77777777" w:rsidR="00274063" w:rsidRPr="00877C4B" w:rsidRDefault="00274063" w:rsidP="00DA4631">
      <w:pPr>
        <w:adjustRightInd w:val="0"/>
        <w:snapToGrid w:val="0"/>
        <w:spacing w:line="480" w:lineRule="auto"/>
        <w:jc w:val="both"/>
        <w:rPr>
          <w:rFonts w:ascii="Times New Roman" w:hAnsi="Times New Roman" w:cs="Times New Roman"/>
          <w:color w:val="000000" w:themeColor="text1"/>
        </w:rPr>
      </w:pPr>
    </w:p>
    <w:p w14:paraId="3919ADE9" w14:textId="77777777" w:rsidR="00274063" w:rsidRPr="00877C4B" w:rsidRDefault="007D4ACE" w:rsidP="00DA4631">
      <w:pPr>
        <w:adjustRightInd w:val="0"/>
        <w:snapToGrid w:val="0"/>
        <w:spacing w:line="480" w:lineRule="auto"/>
        <w:ind w:firstLineChars="200" w:firstLine="480"/>
        <w:jc w:val="both"/>
        <w:rPr>
          <w:rFonts w:ascii="Times New Roman" w:hAnsi="Times New Roman" w:cs="Times New Roman"/>
          <w:color w:val="000000" w:themeColor="text1"/>
        </w:rPr>
      </w:pPr>
      <w:r w:rsidRPr="00877C4B">
        <w:rPr>
          <w:rFonts w:ascii="Times New Roman" w:hAnsi="Times New Roman" w:cs="Times New Roman"/>
          <w:color w:val="000000" w:themeColor="text1"/>
        </w:rPr>
        <w:t>The study was manually coded by two graduate students majoring in Journalism and Communication. Before the formal coding began, a standardized coding manual was developed, and both coders received training on the operationalization of variables. The two coders performed the coding independently. After calculation, the reliability coefficients for each variable ranged from 0.80 to 1.0, indicating consistency in their coding results. Therefore, the inter-coder reliability results are considered acceptable.</w:t>
      </w:r>
    </w:p>
    <w:p w14:paraId="29318C07" w14:textId="77777777" w:rsidR="00274063" w:rsidRPr="00877C4B" w:rsidRDefault="00274063" w:rsidP="00DA4631">
      <w:pPr>
        <w:adjustRightInd w:val="0"/>
        <w:snapToGrid w:val="0"/>
        <w:spacing w:line="480" w:lineRule="auto"/>
        <w:jc w:val="both"/>
        <w:rPr>
          <w:rFonts w:ascii="Times New Roman" w:hAnsi="Times New Roman" w:cs="Times New Roman"/>
          <w:color w:val="000000" w:themeColor="text1"/>
        </w:rPr>
      </w:pPr>
    </w:p>
    <w:p w14:paraId="6CD5ADD9"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b/>
          <w:bCs/>
          <w:color w:val="000000" w:themeColor="text1"/>
        </w:rPr>
        <w:t>4. Data Analysis and Results</w:t>
      </w:r>
    </w:p>
    <w:p w14:paraId="5C7B5EB5" w14:textId="77777777" w:rsidR="00274063" w:rsidRPr="00877C4B" w:rsidRDefault="007D4ACE" w:rsidP="00DA4631">
      <w:pPr>
        <w:adjustRightInd w:val="0"/>
        <w:snapToGrid w:val="0"/>
        <w:spacing w:line="480" w:lineRule="auto"/>
        <w:jc w:val="both"/>
        <w:outlineLvl w:val="2"/>
        <w:rPr>
          <w:rFonts w:ascii="Times New Roman" w:hAnsi="Times New Roman" w:cs="Times New Roman"/>
          <w:b/>
          <w:bCs/>
          <w:i/>
          <w:color w:val="000000" w:themeColor="text1"/>
        </w:rPr>
      </w:pPr>
      <w:r w:rsidRPr="00877C4B">
        <w:rPr>
          <w:rFonts w:ascii="Times New Roman" w:hAnsi="Times New Roman" w:cs="Times New Roman"/>
          <w:b/>
          <w:bCs/>
          <w:i/>
          <w:color w:val="000000" w:themeColor="text1"/>
        </w:rPr>
        <w:t>4.1 Single Variable Analysis</w:t>
      </w:r>
    </w:p>
    <w:p w14:paraId="03ED2FC8" w14:textId="77777777" w:rsidR="00274063" w:rsidRPr="00877C4B" w:rsidRDefault="007D4ACE" w:rsidP="00CE14DB">
      <w:pPr>
        <w:tabs>
          <w:tab w:val="left" w:pos="720"/>
        </w:tabs>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In applying the QCA method to research, the analysis of individual explanatory variables constitutes a crucial aspect of the overall study, yielding two key indicators: consistency and coverage. Consistency measures the degree to which a particular explanatory variable is necessary for the occurrence of the outcome variable, while coverage assesses the explanatory power of the variable in producing the outcome. The formulas for these two indicators are as follows: </w:t>
      </w:r>
    </w:p>
    <w:p w14:paraId="3D4EBFF5" w14:textId="77777777" w:rsidR="00274063" w:rsidRPr="00877C4B" w:rsidRDefault="007D4ACE" w:rsidP="00DA4631">
      <w:pPr>
        <w:tabs>
          <w:tab w:val="left" w:pos="720"/>
        </w:tabs>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Consistency (x1≤y1) =∑ [min (x1​, y1​)]/∑(x1​)</w:t>
      </w:r>
    </w:p>
    <w:p w14:paraId="1126EB9B" w14:textId="77777777" w:rsidR="00274063" w:rsidRPr="00877C4B" w:rsidRDefault="007D4ACE" w:rsidP="00DA4631">
      <w:pPr>
        <w:tabs>
          <w:tab w:val="left" w:pos="720"/>
        </w:tabs>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Coverage (x1≤y1) =∑ [min (x1​, y1​)]/∑(y1​)</w:t>
      </w:r>
    </w:p>
    <w:p w14:paraId="1D29455E" w14:textId="77777777" w:rsidR="00274063" w:rsidRPr="00877C4B" w:rsidRDefault="007D4ACE" w:rsidP="00DA4631">
      <w:pPr>
        <w:adjustRightInd w:val="0"/>
        <w:snapToGrid w:val="0"/>
        <w:spacing w:line="480" w:lineRule="auto"/>
        <w:ind w:firstLineChars="200" w:firstLine="480"/>
        <w:jc w:val="both"/>
        <w:rPr>
          <w:rFonts w:ascii="Times New Roman" w:hAnsi="Times New Roman" w:cs="Times New Roman"/>
          <w:color w:val="000000" w:themeColor="text1"/>
        </w:rPr>
      </w:pPr>
      <w:r w:rsidRPr="00877C4B">
        <w:rPr>
          <w:rFonts w:ascii="Times New Roman" w:hAnsi="Times New Roman" w:cs="Times New Roman"/>
          <w:color w:val="000000" w:themeColor="text1"/>
        </w:rPr>
        <w:t>Using fsQCA3.0 software, the truth table for the sample cases was calculated, and the results are presented in </w:t>
      </w:r>
      <w:r w:rsidRPr="00877C4B">
        <w:rPr>
          <w:rFonts w:ascii="Times New Roman" w:hAnsi="Times New Roman" w:cs="Times New Roman"/>
          <w:b/>
          <w:bCs/>
          <w:color w:val="000000" w:themeColor="text1"/>
        </w:rPr>
        <w:t>Table 2</w:t>
      </w:r>
      <w:r w:rsidRPr="00877C4B">
        <w:rPr>
          <w:rFonts w:ascii="Times New Roman" w:hAnsi="Times New Roman" w:cs="Times New Roman"/>
          <w:color w:val="000000" w:themeColor="text1"/>
        </w:rPr>
        <w:t>.</w:t>
      </w:r>
    </w:p>
    <w:p w14:paraId="5356F97E" w14:textId="77777777" w:rsidR="00274063" w:rsidRPr="00877C4B" w:rsidRDefault="007D4ACE" w:rsidP="005F188C">
      <w:pPr>
        <w:adjustRightInd w:val="0"/>
        <w:snapToGrid w:val="0"/>
        <w:spacing w:line="480" w:lineRule="auto"/>
        <w:jc w:val="center"/>
        <w:rPr>
          <w:rFonts w:ascii="Times New Roman" w:hAnsi="Times New Roman" w:cs="Times New Roman"/>
          <w:color w:val="000000" w:themeColor="text1"/>
        </w:rPr>
      </w:pPr>
      <w:r w:rsidRPr="00877C4B">
        <w:rPr>
          <w:rFonts w:ascii="Times New Roman" w:hAnsi="Times New Roman" w:cs="Times New Roman"/>
          <w:b/>
          <w:bCs/>
          <w:color w:val="000000" w:themeColor="text1"/>
        </w:rPr>
        <w:lastRenderedPageBreak/>
        <w:t xml:space="preserve">Table 2 </w:t>
      </w:r>
      <w:r w:rsidRPr="00877C4B">
        <w:rPr>
          <w:rFonts w:ascii="Times New Roman" w:hAnsi="Times New Roman" w:cs="Times New Roman"/>
          <w:color w:val="000000" w:themeColor="text1"/>
        </w:rPr>
        <w:t>Results of single conditional variable analysis</w:t>
      </w:r>
    </w:p>
    <w:tbl>
      <w:tblPr>
        <w:tblW w:w="6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1390"/>
        <w:gridCol w:w="2497"/>
      </w:tblGrid>
      <w:tr w:rsidR="00DA4631" w:rsidRPr="00877C4B" w14:paraId="525D9444" w14:textId="77777777">
        <w:trPr>
          <w:trHeight w:val="336"/>
          <w:jc w:val="center"/>
        </w:trPr>
        <w:tc>
          <w:tcPr>
            <w:tcW w:w="2282" w:type="dxa"/>
            <w:tcBorders>
              <w:top w:val="single" w:sz="12" w:space="0" w:color="000000"/>
              <w:left w:val="nil"/>
              <w:bottom w:val="single" w:sz="4" w:space="0" w:color="000000"/>
              <w:right w:val="nil"/>
              <w:tl2br w:val="nil"/>
            </w:tcBorders>
            <w:shd w:val="clear" w:color="auto" w:fill="FFFFFF"/>
            <w:noWrap/>
            <w:vAlign w:val="center"/>
          </w:tcPr>
          <w:p w14:paraId="4AAE4884"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Explanatory variables</w:t>
            </w:r>
          </w:p>
        </w:tc>
        <w:tc>
          <w:tcPr>
            <w:tcW w:w="3887" w:type="dxa"/>
            <w:gridSpan w:val="2"/>
            <w:tcBorders>
              <w:top w:val="single" w:sz="12" w:space="0" w:color="000000"/>
              <w:left w:val="nil"/>
              <w:bottom w:val="single" w:sz="4" w:space="0" w:color="000000"/>
              <w:right w:val="nil"/>
            </w:tcBorders>
            <w:shd w:val="clear" w:color="auto" w:fill="FFFFFF"/>
            <w:noWrap/>
            <w:vAlign w:val="center"/>
          </w:tcPr>
          <w:p w14:paraId="1B20BF74"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High communication effect</w:t>
            </w:r>
          </w:p>
        </w:tc>
      </w:tr>
      <w:tr w:rsidR="00DA4631" w:rsidRPr="00877C4B" w14:paraId="3AC78897" w14:textId="77777777">
        <w:trPr>
          <w:trHeight w:val="336"/>
          <w:jc w:val="center"/>
        </w:trPr>
        <w:tc>
          <w:tcPr>
            <w:tcW w:w="2282" w:type="dxa"/>
            <w:tcBorders>
              <w:top w:val="single" w:sz="4" w:space="0" w:color="000000"/>
              <w:left w:val="nil"/>
              <w:bottom w:val="nil"/>
              <w:right w:val="nil"/>
            </w:tcBorders>
            <w:shd w:val="clear" w:color="auto" w:fill="FFFFFF"/>
            <w:noWrap/>
            <w:vAlign w:val="center"/>
          </w:tcPr>
          <w:p w14:paraId="6B0DC759" w14:textId="77777777" w:rsidR="00274063" w:rsidRPr="00877C4B" w:rsidRDefault="00274063" w:rsidP="00DA4631">
            <w:pPr>
              <w:adjustRightInd w:val="0"/>
              <w:snapToGrid w:val="0"/>
              <w:spacing w:line="480" w:lineRule="auto"/>
              <w:jc w:val="both"/>
              <w:rPr>
                <w:rFonts w:ascii="Times New Roman" w:hAnsi="Times New Roman" w:cs="Times New Roman"/>
                <w:color w:val="000000" w:themeColor="text1"/>
              </w:rPr>
            </w:pPr>
          </w:p>
        </w:tc>
        <w:tc>
          <w:tcPr>
            <w:tcW w:w="1390" w:type="dxa"/>
            <w:tcBorders>
              <w:top w:val="single" w:sz="4" w:space="0" w:color="000000"/>
              <w:left w:val="nil"/>
              <w:bottom w:val="nil"/>
              <w:right w:val="nil"/>
            </w:tcBorders>
            <w:shd w:val="clear" w:color="auto" w:fill="FFFFFF"/>
            <w:noWrap/>
            <w:vAlign w:val="center"/>
          </w:tcPr>
          <w:p w14:paraId="0AA58896"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Consistency</w:t>
            </w:r>
          </w:p>
        </w:tc>
        <w:tc>
          <w:tcPr>
            <w:tcW w:w="2497" w:type="dxa"/>
            <w:tcBorders>
              <w:top w:val="single" w:sz="4" w:space="0" w:color="000000"/>
              <w:left w:val="nil"/>
              <w:bottom w:val="nil"/>
              <w:right w:val="nil"/>
            </w:tcBorders>
            <w:shd w:val="clear" w:color="auto" w:fill="FFFFFF"/>
            <w:noWrap/>
            <w:vAlign w:val="center"/>
          </w:tcPr>
          <w:p w14:paraId="0B75A1A9"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Coverage</w:t>
            </w:r>
          </w:p>
        </w:tc>
      </w:tr>
      <w:tr w:rsidR="00DA4631" w:rsidRPr="00877C4B" w14:paraId="583AB101" w14:textId="77777777">
        <w:trPr>
          <w:trHeight w:val="336"/>
          <w:jc w:val="center"/>
        </w:trPr>
        <w:tc>
          <w:tcPr>
            <w:tcW w:w="2282" w:type="dxa"/>
            <w:tcBorders>
              <w:top w:val="nil"/>
              <w:left w:val="nil"/>
              <w:bottom w:val="nil"/>
              <w:right w:val="nil"/>
            </w:tcBorders>
            <w:shd w:val="clear" w:color="auto" w:fill="FFFFFF"/>
            <w:noWrap/>
            <w:vAlign w:val="center"/>
          </w:tcPr>
          <w:p w14:paraId="13CFEB8A"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PPC</w:t>
            </w:r>
          </w:p>
        </w:tc>
        <w:tc>
          <w:tcPr>
            <w:tcW w:w="1390" w:type="dxa"/>
            <w:tcBorders>
              <w:top w:val="nil"/>
              <w:left w:val="nil"/>
              <w:bottom w:val="nil"/>
              <w:right w:val="nil"/>
            </w:tcBorders>
            <w:shd w:val="clear" w:color="auto" w:fill="FFFFFF"/>
            <w:noWrap/>
            <w:vAlign w:val="center"/>
          </w:tcPr>
          <w:p w14:paraId="2A8BC914"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0.4375</w:t>
            </w:r>
          </w:p>
        </w:tc>
        <w:tc>
          <w:tcPr>
            <w:tcW w:w="2497" w:type="dxa"/>
            <w:tcBorders>
              <w:top w:val="nil"/>
              <w:left w:val="nil"/>
              <w:bottom w:val="nil"/>
              <w:right w:val="nil"/>
            </w:tcBorders>
            <w:shd w:val="clear" w:color="auto" w:fill="FFFFFF"/>
            <w:noWrap/>
            <w:vAlign w:val="center"/>
          </w:tcPr>
          <w:p w14:paraId="4FADC3BB"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0.823529</w:t>
            </w:r>
          </w:p>
        </w:tc>
      </w:tr>
      <w:tr w:rsidR="00DA4631" w:rsidRPr="00877C4B" w14:paraId="152C68F0" w14:textId="77777777">
        <w:trPr>
          <w:trHeight w:val="336"/>
          <w:jc w:val="center"/>
        </w:trPr>
        <w:tc>
          <w:tcPr>
            <w:tcW w:w="2282" w:type="dxa"/>
            <w:tcBorders>
              <w:top w:val="nil"/>
              <w:left w:val="nil"/>
              <w:bottom w:val="nil"/>
              <w:right w:val="nil"/>
            </w:tcBorders>
            <w:shd w:val="clear" w:color="auto" w:fill="FFFFFF"/>
            <w:noWrap/>
            <w:vAlign w:val="center"/>
          </w:tcPr>
          <w:p w14:paraId="5EA5458F"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dramatic</w:t>
            </w:r>
          </w:p>
        </w:tc>
        <w:tc>
          <w:tcPr>
            <w:tcW w:w="1390" w:type="dxa"/>
            <w:tcBorders>
              <w:top w:val="nil"/>
              <w:left w:val="nil"/>
              <w:bottom w:val="nil"/>
              <w:right w:val="nil"/>
            </w:tcBorders>
            <w:shd w:val="clear" w:color="auto" w:fill="FFFFFF"/>
            <w:noWrap/>
            <w:vAlign w:val="center"/>
          </w:tcPr>
          <w:p w14:paraId="056A62C2"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0.5</w:t>
            </w:r>
          </w:p>
        </w:tc>
        <w:tc>
          <w:tcPr>
            <w:tcW w:w="2497" w:type="dxa"/>
            <w:tcBorders>
              <w:top w:val="nil"/>
              <w:left w:val="nil"/>
              <w:bottom w:val="nil"/>
              <w:right w:val="nil"/>
            </w:tcBorders>
            <w:shd w:val="clear" w:color="auto" w:fill="FFFFFF"/>
            <w:noWrap/>
            <w:vAlign w:val="center"/>
          </w:tcPr>
          <w:p w14:paraId="5D5B5DDA"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0.8</w:t>
            </w:r>
          </w:p>
        </w:tc>
      </w:tr>
      <w:tr w:rsidR="00DA4631" w:rsidRPr="00877C4B" w14:paraId="2613A884" w14:textId="77777777">
        <w:trPr>
          <w:trHeight w:val="336"/>
          <w:jc w:val="center"/>
        </w:trPr>
        <w:tc>
          <w:tcPr>
            <w:tcW w:w="2282" w:type="dxa"/>
            <w:tcBorders>
              <w:top w:val="nil"/>
              <w:left w:val="nil"/>
              <w:bottom w:val="nil"/>
              <w:right w:val="nil"/>
            </w:tcBorders>
            <w:shd w:val="clear" w:color="auto" w:fill="FFFFFF"/>
            <w:noWrap/>
            <w:vAlign w:val="center"/>
          </w:tcPr>
          <w:p w14:paraId="63C27283"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knowledge</w:t>
            </w:r>
          </w:p>
        </w:tc>
        <w:tc>
          <w:tcPr>
            <w:tcW w:w="1390" w:type="dxa"/>
            <w:tcBorders>
              <w:top w:val="nil"/>
              <w:left w:val="nil"/>
              <w:bottom w:val="nil"/>
              <w:right w:val="nil"/>
            </w:tcBorders>
            <w:shd w:val="clear" w:color="auto" w:fill="FFFFFF"/>
            <w:noWrap/>
            <w:vAlign w:val="center"/>
          </w:tcPr>
          <w:p w14:paraId="35AFF5B0"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0.4375</w:t>
            </w:r>
          </w:p>
        </w:tc>
        <w:tc>
          <w:tcPr>
            <w:tcW w:w="2497" w:type="dxa"/>
            <w:tcBorders>
              <w:top w:val="nil"/>
              <w:left w:val="nil"/>
              <w:bottom w:val="nil"/>
              <w:right w:val="nil"/>
            </w:tcBorders>
            <w:shd w:val="clear" w:color="auto" w:fill="FFFFFF"/>
            <w:noWrap/>
            <w:vAlign w:val="center"/>
          </w:tcPr>
          <w:p w14:paraId="3A714292"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0.7</w:t>
            </w:r>
          </w:p>
        </w:tc>
      </w:tr>
      <w:tr w:rsidR="00DA4631" w:rsidRPr="00877C4B" w14:paraId="0326B182" w14:textId="77777777">
        <w:trPr>
          <w:trHeight w:val="336"/>
          <w:jc w:val="center"/>
        </w:trPr>
        <w:tc>
          <w:tcPr>
            <w:tcW w:w="2282" w:type="dxa"/>
            <w:tcBorders>
              <w:top w:val="nil"/>
              <w:left w:val="nil"/>
              <w:bottom w:val="nil"/>
              <w:right w:val="nil"/>
            </w:tcBorders>
            <w:shd w:val="clear" w:color="auto" w:fill="FFFFFF"/>
            <w:noWrap/>
            <w:vAlign w:val="center"/>
          </w:tcPr>
          <w:p w14:paraId="5B34A2BF"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action</w:t>
            </w:r>
          </w:p>
        </w:tc>
        <w:tc>
          <w:tcPr>
            <w:tcW w:w="1390" w:type="dxa"/>
            <w:tcBorders>
              <w:top w:val="nil"/>
              <w:left w:val="nil"/>
              <w:bottom w:val="nil"/>
              <w:right w:val="nil"/>
            </w:tcBorders>
            <w:shd w:val="clear" w:color="auto" w:fill="FFFFFF"/>
            <w:noWrap/>
            <w:vAlign w:val="center"/>
          </w:tcPr>
          <w:p w14:paraId="0D546E94"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0.875</w:t>
            </w:r>
          </w:p>
        </w:tc>
        <w:tc>
          <w:tcPr>
            <w:tcW w:w="2497" w:type="dxa"/>
            <w:tcBorders>
              <w:top w:val="nil"/>
              <w:left w:val="nil"/>
              <w:bottom w:val="nil"/>
              <w:right w:val="nil"/>
            </w:tcBorders>
            <w:shd w:val="clear" w:color="auto" w:fill="FFFFFF"/>
            <w:noWrap/>
            <w:vAlign w:val="center"/>
          </w:tcPr>
          <w:p w14:paraId="7B22DA89"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0.7</w:t>
            </w:r>
          </w:p>
        </w:tc>
      </w:tr>
      <w:tr w:rsidR="00DA4631" w:rsidRPr="00877C4B" w14:paraId="787439DB" w14:textId="77777777">
        <w:trPr>
          <w:trHeight w:val="336"/>
          <w:jc w:val="center"/>
        </w:trPr>
        <w:tc>
          <w:tcPr>
            <w:tcW w:w="2282" w:type="dxa"/>
            <w:tcBorders>
              <w:top w:val="nil"/>
              <w:left w:val="nil"/>
              <w:bottom w:val="nil"/>
              <w:right w:val="nil"/>
            </w:tcBorders>
            <w:shd w:val="clear" w:color="auto" w:fill="FFFFFF"/>
            <w:noWrap/>
            <w:vAlign w:val="center"/>
          </w:tcPr>
          <w:p w14:paraId="7E7485E4"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belief</w:t>
            </w:r>
          </w:p>
        </w:tc>
        <w:tc>
          <w:tcPr>
            <w:tcW w:w="1390" w:type="dxa"/>
            <w:tcBorders>
              <w:top w:val="nil"/>
              <w:left w:val="nil"/>
              <w:bottom w:val="nil"/>
              <w:right w:val="nil"/>
            </w:tcBorders>
            <w:shd w:val="clear" w:color="auto" w:fill="FFFFFF"/>
            <w:noWrap/>
            <w:vAlign w:val="center"/>
          </w:tcPr>
          <w:p w14:paraId="5741687A"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0.34375</w:t>
            </w:r>
          </w:p>
        </w:tc>
        <w:tc>
          <w:tcPr>
            <w:tcW w:w="2497" w:type="dxa"/>
            <w:tcBorders>
              <w:top w:val="nil"/>
              <w:left w:val="nil"/>
              <w:bottom w:val="nil"/>
              <w:right w:val="nil"/>
            </w:tcBorders>
            <w:shd w:val="clear" w:color="auto" w:fill="FFFFFF"/>
            <w:noWrap/>
            <w:vAlign w:val="center"/>
          </w:tcPr>
          <w:p w14:paraId="0351E96A"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0.733333</w:t>
            </w:r>
          </w:p>
        </w:tc>
      </w:tr>
      <w:tr w:rsidR="00DA4631" w:rsidRPr="00877C4B" w14:paraId="13783855" w14:textId="77777777">
        <w:trPr>
          <w:trHeight w:val="336"/>
          <w:jc w:val="center"/>
        </w:trPr>
        <w:tc>
          <w:tcPr>
            <w:tcW w:w="2282" w:type="dxa"/>
            <w:tcBorders>
              <w:top w:val="nil"/>
              <w:left w:val="nil"/>
              <w:bottom w:val="nil"/>
              <w:right w:val="nil"/>
            </w:tcBorders>
            <w:shd w:val="clear" w:color="auto" w:fill="FFFFFF"/>
            <w:noWrap/>
            <w:vAlign w:val="center"/>
          </w:tcPr>
          <w:p w14:paraId="1DDC892A"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immersive</w:t>
            </w:r>
          </w:p>
        </w:tc>
        <w:tc>
          <w:tcPr>
            <w:tcW w:w="1390" w:type="dxa"/>
            <w:tcBorders>
              <w:top w:val="nil"/>
              <w:left w:val="nil"/>
              <w:bottom w:val="nil"/>
              <w:right w:val="nil"/>
            </w:tcBorders>
            <w:shd w:val="clear" w:color="auto" w:fill="FFFFFF"/>
            <w:noWrap/>
            <w:vAlign w:val="center"/>
          </w:tcPr>
          <w:p w14:paraId="3086CB61"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0.4375</w:t>
            </w:r>
          </w:p>
        </w:tc>
        <w:tc>
          <w:tcPr>
            <w:tcW w:w="2497" w:type="dxa"/>
            <w:tcBorders>
              <w:top w:val="nil"/>
              <w:left w:val="nil"/>
              <w:bottom w:val="nil"/>
              <w:right w:val="nil"/>
            </w:tcBorders>
            <w:shd w:val="clear" w:color="auto" w:fill="FFFFFF"/>
            <w:noWrap/>
            <w:vAlign w:val="center"/>
          </w:tcPr>
          <w:p w14:paraId="3E3507C7"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1</w:t>
            </w:r>
          </w:p>
        </w:tc>
      </w:tr>
      <w:tr w:rsidR="00DA4631" w:rsidRPr="00877C4B" w14:paraId="72F5755B" w14:textId="77777777">
        <w:trPr>
          <w:trHeight w:val="336"/>
          <w:jc w:val="center"/>
        </w:trPr>
        <w:tc>
          <w:tcPr>
            <w:tcW w:w="2282" w:type="dxa"/>
            <w:tcBorders>
              <w:top w:val="nil"/>
              <w:left w:val="nil"/>
              <w:bottom w:val="nil"/>
              <w:right w:val="nil"/>
            </w:tcBorders>
            <w:shd w:val="clear" w:color="auto" w:fill="FFFFFF"/>
            <w:noWrap/>
            <w:vAlign w:val="center"/>
          </w:tcPr>
          <w:p w14:paraId="0615E2F5"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style</w:t>
            </w:r>
          </w:p>
        </w:tc>
        <w:tc>
          <w:tcPr>
            <w:tcW w:w="1390" w:type="dxa"/>
            <w:tcBorders>
              <w:top w:val="nil"/>
              <w:left w:val="nil"/>
              <w:bottom w:val="nil"/>
              <w:right w:val="nil"/>
            </w:tcBorders>
            <w:shd w:val="clear" w:color="auto" w:fill="FFFFFF"/>
            <w:noWrap/>
            <w:vAlign w:val="center"/>
          </w:tcPr>
          <w:p w14:paraId="10B08ED3"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0.5625</w:t>
            </w:r>
          </w:p>
        </w:tc>
        <w:tc>
          <w:tcPr>
            <w:tcW w:w="2497" w:type="dxa"/>
            <w:tcBorders>
              <w:top w:val="nil"/>
              <w:left w:val="nil"/>
              <w:bottom w:val="nil"/>
              <w:right w:val="nil"/>
            </w:tcBorders>
            <w:shd w:val="clear" w:color="auto" w:fill="FFFFFF"/>
            <w:noWrap/>
            <w:vAlign w:val="center"/>
          </w:tcPr>
          <w:p w14:paraId="6063E282"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0.75</w:t>
            </w:r>
          </w:p>
        </w:tc>
      </w:tr>
      <w:tr w:rsidR="00DA4631" w:rsidRPr="00877C4B" w14:paraId="4657515B" w14:textId="77777777">
        <w:trPr>
          <w:trHeight w:val="336"/>
          <w:jc w:val="center"/>
        </w:trPr>
        <w:tc>
          <w:tcPr>
            <w:tcW w:w="2282" w:type="dxa"/>
            <w:tcBorders>
              <w:top w:val="nil"/>
              <w:left w:val="nil"/>
              <w:bottom w:val="nil"/>
              <w:right w:val="nil"/>
            </w:tcBorders>
            <w:shd w:val="clear" w:color="auto" w:fill="FFFFFF"/>
            <w:noWrap/>
            <w:vAlign w:val="center"/>
          </w:tcPr>
          <w:p w14:paraId="4DA425FC"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package</w:t>
            </w:r>
          </w:p>
        </w:tc>
        <w:tc>
          <w:tcPr>
            <w:tcW w:w="1390" w:type="dxa"/>
            <w:tcBorders>
              <w:top w:val="nil"/>
              <w:left w:val="nil"/>
              <w:bottom w:val="nil"/>
              <w:right w:val="nil"/>
            </w:tcBorders>
            <w:shd w:val="clear" w:color="auto" w:fill="FFFFFF"/>
            <w:noWrap/>
            <w:vAlign w:val="center"/>
          </w:tcPr>
          <w:p w14:paraId="2D520D30"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1</w:t>
            </w:r>
          </w:p>
        </w:tc>
        <w:tc>
          <w:tcPr>
            <w:tcW w:w="2497" w:type="dxa"/>
            <w:tcBorders>
              <w:top w:val="nil"/>
              <w:left w:val="nil"/>
              <w:bottom w:val="nil"/>
              <w:right w:val="nil"/>
            </w:tcBorders>
            <w:shd w:val="clear" w:color="auto" w:fill="FFFFFF"/>
            <w:noWrap/>
            <w:vAlign w:val="center"/>
          </w:tcPr>
          <w:p w14:paraId="3FD0BFB5"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0.744186</w:t>
            </w:r>
          </w:p>
        </w:tc>
      </w:tr>
      <w:tr w:rsidR="00DA4631" w:rsidRPr="00877C4B" w14:paraId="70A9DD97" w14:textId="77777777">
        <w:trPr>
          <w:trHeight w:val="336"/>
          <w:jc w:val="center"/>
        </w:trPr>
        <w:tc>
          <w:tcPr>
            <w:tcW w:w="2282" w:type="dxa"/>
            <w:tcBorders>
              <w:top w:val="nil"/>
              <w:left w:val="nil"/>
              <w:bottom w:val="single" w:sz="12" w:space="0" w:color="000000"/>
              <w:right w:val="nil"/>
            </w:tcBorders>
            <w:shd w:val="clear" w:color="auto" w:fill="FFFFFF"/>
            <w:noWrap/>
            <w:vAlign w:val="center"/>
          </w:tcPr>
          <w:p w14:paraId="1ED8D84B"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time</w:t>
            </w:r>
          </w:p>
        </w:tc>
        <w:tc>
          <w:tcPr>
            <w:tcW w:w="1390" w:type="dxa"/>
            <w:tcBorders>
              <w:top w:val="nil"/>
              <w:left w:val="nil"/>
              <w:bottom w:val="single" w:sz="12" w:space="0" w:color="000000"/>
              <w:right w:val="nil"/>
            </w:tcBorders>
            <w:shd w:val="clear" w:color="auto" w:fill="FFFFFF"/>
            <w:noWrap/>
            <w:vAlign w:val="center"/>
          </w:tcPr>
          <w:p w14:paraId="7FEE6C9D"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0.59375</w:t>
            </w:r>
          </w:p>
        </w:tc>
        <w:tc>
          <w:tcPr>
            <w:tcW w:w="2497" w:type="dxa"/>
            <w:tcBorders>
              <w:top w:val="nil"/>
              <w:left w:val="nil"/>
              <w:bottom w:val="single" w:sz="12" w:space="0" w:color="000000"/>
              <w:right w:val="nil"/>
            </w:tcBorders>
            <w:shd w:val="clear" w:color="auto" w:fill="FFFFFF"/>
            <w:noWrap/>
            <w:vAlign w:val="center"/>
          </w:tcPr>
          <w:p w14:paraId="78C9CC27"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0.826087</w:t>
            </w:r>
          </w:p>
        </w:tc>
      </w:tr>
    </w:tbl>
    <w:p w14:paraId="3FA6D993" w14:textId="77777777" w:rsidR="00274063" w:rsidRPr="00877C4B" w:rsidRDefault="00274063" w:rsidP="00DA4631">
      <w:pPr>
        <w:adjustRightInd w:val="0"/>
        <w:snapToGrid w:val="0"/>
        <w:spacing w:line="480" w:lineRule="auto"/>
        <w:ind w:firstLineChars="200" w:firstLine="480"/>
        <w:jc w:val="both"/>
        <w:rPr>
          <w:rFonts w:ascii="Times New Roman" w:hAnsi="Times New Roman" w:cs="Times New Roman"/>
          <w:color w:val="000000" w:themeColor="text1"/>
        </w:rPr>
      </w:pPr>
    </w:p>
    <w:p w14:paraId="7EF5AFA5" w14:textId="77777777" w:rsidR="00274063" w:rsidRPr="00877C4B" w:rsidRDefault="007D4ACE" w:rsidP="00DA4631">
      <w:pPr>
        <w:adjustRightInd w:val="0"/>
        <w:snapToGrid w:val="0"/>
        <w:spacing w:line="480" w:lineRule="auto"/>
        <w:ind w:firstLineChars="200" w:firstLine="480"/>
        <w:jc w:val="both"/>
        <w:outlineLvl w:val="2"/>
        <w:rPr>
          <w:rFonts w:ascii="Times New Roman" w:hAnsi="Times New Roman" w:cs="Times New Roman"/>
          <w:color w:val="000000" w:themeColor="text1"/>
        </w:rPr>
      </w:pPr>
      <w:r w:rsidRPr="00877C4B">
        <w:rPr>
          <w:rFonts w:ascii="Times New Roman" w:hAnsi="Times New Roman" w:cs="Times New Roman"/>
          <w:color w:val="000000" w:themeColor="text1"/>
        </w:rPr>
        <w:t>Upon examining the results for consistency and coverage, it was found that the consistency of the "technical packaging" variable exceeds 0.9 (reaching 1.0), indicating that this variable can be regarded as a necessary condition for achieving high communication effects. Similarly, the consistency of the "action clue" variable exceeds 0.8 (reaching 0.875), suggesting that it constitutes a sufficient condition for high communication effects. The relatively high coverage values for both variables indicate strong explanatory power in accounting for the occurrence of high communication effects.</w:t>
      </w:r>
    </w:p>
    <w:p w14:paraId="32604594" w14:textId="77777777" w:rsidR="00274063" w:rsidRPr="00877C4B" w:rsidRDefault="007D4ACE" w:rsidP="00DA4631">
      <w:pPr>
        <w:adjustRightInd w:val="0"/>
        <w:snapToGrid w:val="0"/>
        <w:spacing w:line="480" w:lineRule="auto"/>
        <w:ind w:firstLineChars="200" w:firstLine="480"/>
        <w:jc w:val="both"/>
        <w:outlineLvl w:val="2"/>
        <w:rPr>
          <w:rFonts w:ascii="Times New Roman" w:hAnsi="Times New Roman" w:cs="Times New Roman"/>
          <w:color w:val="000000" w:themeColor="text1"/>
        </w:rPr>
      </w:pPr>
      <w:r w:rsidRPr="00877C4B">
        <w:rPr>
          <w:rFonts w:ascii="Times New Roman" w:hAnsi="Times New Roman" w:cs="Times New Roman"/>
          <w:color w:val="000000" w:themeColor="text1"/>
        </w:rPr>
        <w:t xml:space="preserve">For the remaining explanatory variables, consistency scores were all below 0.8, indicating that none of these variables can be considered necessary or sufficient conditions for high communication effects on their own. However, their potential </w:t>
      </w:r>
      <w:r w:rsidRPr="00877C4B">
        <w:rPr>
          <w:rFonts w:ascii="Times New Roman" w:hAnsi="Times New Roman" w:cs="Times New Roman"/>
          <w:color w:val="000000" w:themeColor="text1"/>
        </w:rPr>
        <w:lastRenderedPageBreak/>
        <w:t>impact when combined with other variables necessitates further exploration through combinatorial analysis.</w:t>
      </w:r>
    </w:p>
    <w:p w14:paraId="325A0354" w14:textId="77777777" w:rsidR="00274063" w:rsidRPr="00877C4B" w:rsidRDefault="007D4ACE" w:rsidP="00DA4631">
      <w:pPr>
        <w:adjustRightInd w:val="0"/>
        <w:snapToGrid w:val="0"/>
        <w:spacing w:line="480" w:lineRule="auto"/>
        <w:jc w:val="both"/>
        <w:outlineLvl w:val="2"/>
        <w:rPr>
          <w:rFonts w:ascii="Times New Roman" w:hAnsi="Times New Roman" w:cs="Times New Roman"/>
          <w:b/>
          <w:bCs/>
          <w:i/>
          <w:color w:val="000000" w:themeColor="text1"/>
        </w:rPr>
      </w:pPr>
      <w:r w:rsidRPr="00877C4B">
        <w:rPr>
          <w:rFonts w:ascii="Times New Roman" w:hAnsi="Times New Roman" w:cs="Times New Roman"/>
          <w:b/>
          <w:bCs/>
          <w:i/>
          <w:color w:val="000000" w:themeColor="text1"/>
        </w:rPr>
        <w:t>4.2 Variable Combination Analysis</w:t>
      </w:r>
    </w:p>
    <w:p w14:paraId="423E68B6" w14:textId="77777777" w:rsidR="00274063" w:rsidRPr="00877C4B" w:rsidRDefault="007D4ACE" w:rsidP="00DA4631">
      <w:pPr>
        <w:adjustRightInd w:val="0"/>
        <w:snapToGrid w:val="0"/>
        <w:spacing w:line="480" w:lineRule="auto"/>
        <w:ind w:firstLineChars="200" w:firstLine="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The objective of variable combination analysis is to investigate whether the outcome variable results from the interaction of multiple explanatory variables, thereby identifying a combination path that leads to the occurrence of the outcome. By analyzing these combination paths, a more comprehensive and nuanced understanding of the outcome's emergence can be obtained. After inputting the truth table derived from the cases into fsQCA 3.0, the analysis produced the following results: the Complex Solution, the Intermediate Solution, and the Parsimonious Solution. The Intermediate Solution, which strikes a balance between explanatory power and generalizability, is frequently used in practical research due to its robust application across diverse contexts. Consequently, this study focuses on the Intermediate Solution for subsequent analysis, with the optimal combination path extracted and presented in </w:t>
      </w:r>
      <w:r w:rsidRPr="00877C4B">
        <w:rPr>
          <w:rFonts w:ascii="Times New Roman" w:hAnsi="Times New Roman" w:cs="Times New Roman"/>
          <w:b/>
          <w:color w:val="000000" w:themeColor="text1"/>
        </w:rPr>
        <w:t>Table 3.</w:t>
      </w:r>
    </w:p>
    <w:p w14:paraId="6F43D49F" w14:textId="77777777" w:rsidR="00274063" w:rsidRPr="00877C4B" w:rsidRDefault="007D4ACE" w:rsidP="00DA4631">
      <w:pPr>
        <w:adjustRightInd w:val="0"/>
        <w:snapToGrid w:val="0"/>
        <w:spacing w:line="480" w:lineRule="auto"/>
        <w:ind w:firstLineChars="200" w:firstLine="482"/>
        <w:jc w:val="both"/>
        <w:rPr>
          <w:rFonts w:ascii="Times New Roman" w:hAnsi="Times New Roman" w:cs="Times New Roman"/>
          <w:color w:val="000000" w:themeColor="text1"/>
        </w:rPr>
      </w:pPr>
      <w:r w:rsidRPr="00877C4B">
        <w:rPr>
          <w:rFonts w:ascii="Times New Roman" w:hAnsi="Times New Roman" w:cs="Times New Roman"/>
          <w:b/>
          <w:bCs/>
          <w:color w:val="000000" w:themeColor="text1"/>
        </w:rPr>
        <w:t xml:space="preserve">Table 3 </w:t>
      </w:r>
      <w:r w:rsidRPr="00877C4B">
        <w:rPr>
          <w:rFonts w:ascii="Times New Roman" w:hAnsi="Times New Roman" w:cs="Times New Roman"/>
          <w:color w:val="000000" w:themeColor="text1"/>
        </w:rPr>
        <w:t>Extraction table of optimal combination path of intermediate solution</w:t>
      </w:r>
    </w:p>
    <w:tbl>
      <w:tblPr>
        <w:tblStyle w:val="a6"/>
        <w:tblW w:w="8516" w:type="dxa"/>
        <w:tblLayout w:type="fixed"/>
        <w:tblLook w:val="04A0" w:firstRow="1" w:lastRow="0" w:firstColumn="1" w:lastColumn="0" w:noHBand="0" w:noVBand="1"/>
      </w:tblPr>
      <w:tblGrid>
        <w:gridCol w:w="775"/>
        <w:gridCol w:w="4323"/>
        <w:gridCol w:w="1418"/>
        <w:gridCol w:w="1276"/>
        <w:gridCol w:w="724"/>
      </w:tblGrid>
      <w:tr w:rsidR="00DA4631" w:rsidRPr="00877C4B" w14:paraId="694B1752" w14:textId="77777777">
        <w:tc>
          <w:tcPr>
            <w:tcW w:w="775" w:type="dxa"/>
            <w:tcBorders>
              <w:top w:val="single" w:sz="12" w:space="0" w:color="000000"/>
              <w:left w:val="nil"/>
              <w:bottom w:val="single" w:sz="4" w:space="0" w:color="000000"/>
              <w:right w:val="nil"/>
              <w:tl2br w:val="nil"/>
            </w:tcBorders>
            <w:shd w:val="clear" w:color="auto" w:fill="FFFFFF"/>
          </w:tcPr>
          <w:p w14:paraId="1840D50B"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Number</w:t>
            </w:r>
          </w:p>
        </w:tc>
        <w:tc>
          <w:tcPr>
            <w:tcW w:w="4323" w:type="dxa"/>
            <w:tcBorders>
              <w:top w:val="single" w:sz="12" w:space="0" w:color="000000"/>
              <w:left w:val="nil"/>
              <w:bottom w:val="single" w:sz="4" w:space="0" w:color="000000"/>
              <w:right w:val="nil"/>
            </w:tcBorders>
            <w:shd w:val="clear" w:color="auto" w:fill="FFFFFF"/>
          </w:tcPr>
          <w:p w14:paraId="0A39D573"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Combination path</w:t>
            </w:r>
          </w:p>
        </w:tc>
        <w:tc>
          <w:tcPr>
            <w:tcW w:w="1418" w:type="dxa"/>
            <w:tcBorders>
              <w:top w:val="single" w:sz="12" w:space="0" w:color="000000"/>
              <w:left w:val="nil"/>
              <w:bottom w:val="single" w:sz="4" w:space="0" w:color="000000"/>
              <w:right w:val="nil"/>
            </w:tcBorders>
            <w:shd w:val="clear" w:color="auto" w:fill="FFFFFF"/>
          </w:tcPr>
          <w:p w14:paraId="67BE5712"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Native coverage</w:t>
            </w:r>
          </w:p>
        </w:tc>
        <w:tc>
          <w:tcPr>
            <w:tcW w:w="1276" w:type="dxa"/>
            <w:tcBorders>
              <w:top w:val="single" w:sz="12" w:space="0" w:color="000000"/>
              <w:left w:val="nil"/>
              <w:bottom w:val="single" w:sz="4" w:space="0" w:color="000000"/>
              <w:right w:val="nil"/>
            </w:tcBorders>
            <w:shd w:val="clear" w:color="auto" w:fill="FFFFFF"/>
          </w:tcPr>
          <w:p w14:paraId="0C1F3385"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Net coverage</w:t>
            </w:r>
          </w:p>
        </w:tc>
        <w:tc>
          <w:tcPr>
            <w:tcW w:w="724" w:type="dxa"/>
            <w:tcBorders>
              <w:top w:val="single" w:sz="12" w:space="0" w:color="000000"/>
              <w:left w:val="nil"/>
              <w:bottom w:val="single" w:sz="4" w:space="0" w:color="000000"/>
              <w:right w:val="nil"/>
            </w:tcBorders>
            <w:shd w:val="clear" w:color="auto" w:fill="FFFFFF"/>
          </w:tcPr>
          <w:p w14:paraId="240830F6"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Consistency</w:t>
            </w:r>
          </w:p>
        </w:tc>
      </w:tr>
      <w:tr w:rsidR="00DA4631" w:rsidRPr="00877C4B" w14:paraId="07BA7ED8" w14:textId="77777777">
        <w:tc>
          <w:tcPr>
            <w:tcW w:w="775" w:type="dxa"/>
            <w:tcBorders>
              <w:top w:val="single" w:sz="4" w:space="0" w:color="000000"/>
              <w:left w:val="nil"/>
              <w:bottom w:val="nil"/>
              <w:right w:val="nil"/>
            </w:tcBorders>
            <w:shd w:val="clear" w:color="auto" w:fill="FFFFFF"/>
          </w:tcPr>
          <w:p w14:paraId="00CA8959"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1</w:t>
            </w:r>
          </w:p>
        </w:tc>
        <w:tc>
          <w:tcPr>
            <w:tcW w:w="4323" w:type="dxa"/>
            <w:tcBorders>
              <w:top w:val="single" w:sz="4" w:space="0" w:color="000000"/>
              <w:left w:val="nil"/>
              <w:bottom w:val="nil"/>
              <w:right w:val="nil"/>
            </w:tcBorders>
            <w:shd w:val="clear" w:color="auto" w:fill="FFFFFF"/>
            <w:vAlign w:val="center"/>
          </w:tcPr>
          <w:p w14:paraId="7503C5AA"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PPC*dramatic*~knowledge*action*~belief*immersive*package*~time</w:t>
            </w:r>
          </w:p>
        </w:tc>
        <w:tc>
          <w:tcPr>
            <w:tcW w:w="1418" w:type="dxa"/>
            <w:tcBorders>
              <w:top w:val="single" w:sz="4" w:space="0" w:color="000000"/>
              <w:left w:val="nil"/>
              <w:bottom w:val="nil"/>
              <w:right w:val="nil"/>
            </w:tcBorders>
            <w:shd w:val="clear" w:color="auto" w:fill="FFFFFF"/>
            <w:vAlign w:val="center"/>
          </w:tcPr>
          <w:p w14:paraId="2CC2FCA7"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0.15625</w:t>
            </w:r>
          </w:p>
        </w:tc>
        <w:tc>
          <w:tcPr>
            <w:tcW w:w="1276" w:type="dxa"/>
            <w:tcBorders>
              <w:top w:val="single" w:sz="4" w:space="0" w:color="000000"/>
              <w:left w:val="nil"/>
              <w:bottom w:val="nil"/>
              <w:right w:val="nil"/>
            </w:tcBorders>
            <w:shd w:val="clear" w:color="auto" w:fill="FFFFFF"/>
            <w:vAlign w:val="center"/>
          </w:tcPr>
          <w:p w14:paraId="4F635547"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0.125</w:t>
            </w:r>
          </w:p>
        </w:tc>
        <w:tc>
          <w:tcPr>
            <w:tcW w:w="724" w:type="dxa"/>
            <w:tcBorders>
              <w:top w:val="single" w:sz="4" w:space="0" w:color="000000"/>
              <w:left w:val="nil"/>
              <w:bottom w:val="nil"/>
              <w:right w:val="nil"/>
            </w:tcBorders>
            <w:shd w:val="clear" w:color="auto" w:fill="FFFFFF"/>
            <w:vAlign w:val="center"/>
          </w:tcPr>
          <w:p w14:paraId="30CB70FE"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1</w:t>
            </w:r>
          </w:p>
        </w:tc>
      </w:tr>
      <w:tr w:rsidR="00DA4631" w:rsidRPr="00877C4B" w14:paraId="35D64CBA" w14:textId="77777777">
        <w:tc>
          <w:tcPr>
            <w:tcW w:w="775" w:type="dxa"/>
            <w:tcBorders>
              <w:top w:val="nil"/>
              <w:left w:val="nil"/>
              <w:bottom w:val="nil"/>
              <w:right w:val="nil"/>
            </w:tcBorders>
            <w:shd w:val="clear" w:color="auto" w:fill="FFFFFF"/>
          </w:tcPr>
          <w:p w14:paraId="18A0CB49"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2</w:t>
            </w:r>
          </w:p>
        </w:tc>
        <w:tc>
          <w:tcPr>
            <w:tcW w:w="4323" w:type="dxa"/>
            <w:tcBorders>
              <w:top w:val="nil"/>
              <w:left w:val="nil"/>
              <w:bottom w:val="nil"/>
              <w:right w:val="nil"/>
            </w:tcBorders>
            <w:shd w:val="clear" w:color="auto" w:fill="FFFFFF"/>
            <w:vAlign w:val="center"/>
          </w:tcPr>
          <w:p w14:paraId="6BA36671"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~PPC*~dramatic*knowledge*action*~immersive*style*package*time</w:t>
            </w:r>
          </w:p>
        </w:tc>
        <w:tc>
          <w:tcPr>
            <w:tcW w:w="1418" w:type="dxa"/>
            <w:tcBorders>
              <w:top w:val="nil"/>
              <w:left w:val="nil"/>
              <w:bottom w:val="nil"/>
              <w:right w:val="nil"/>
            </w:tcBorders>
            <w:shd w:val="clear" w:color="auto" w:fill="FFFFFF"/>
            <w:vAlign w:val="center"/>
          </w:tcPr>
          <w:p w14:paraId="769DDC5B"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0.1875</w:t>
            </w:r>
          </w:p>
        </w:tc>
        <w:tc>
          <w:tcPr>
            <w:tcW w:w="1276" w:type="dxa"/>
            <w:tcBorders>
              <w:top w:val="nil"/>
              <w:left w:val="nil"/>
              <w:bottom w:val="nil"/>
              <w:right w:val="nil"/>
            </w:tcBorders>
            <w:shd w:val="clear" w:color="auto" w:fill="FFFFFF"/>
            <w:vAlign w:val="center"/>
          </w:tcPr>
          <w:p w14:paraId="211B9110"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0.1875</w:t>
            </w:r>
          </w:p>
        </w:tc>
        <w:tc>
          <w:tcPr>
            <w:tcW w:w="724" w:type="dxa"/>
            <w:tcBorders>
              <w:top w:val="nil"/>
              <w:left w:val="nil"/>
              <w:bottom w:val="nil"/>
              <w:right w:val="nil"/>
            </w:tcBorders>
            <w:shd w:val="clear" w:color="auto" w:fill="FFFFFF"/>
            <w:vAlign w:val="center"/>
          </w:tcPr>
          <w:p w14:paraId="3998CBFC"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1</w:t>
            </w:r>
          </w:p>
        </w:tc>
      </w:tr>
      <w:tr w:rsidR="00DA4631" w:rsidRPr="00877C4B" w14:paraId="00565D74" w14:textId="77777777">
        <w:tc>
          <w:tcPr>
            <w:tcW w:w="775" w:type="dxa"/>
            <w:tcBorders>
              <w:top w:val="nil"/>
              <w:left w:val="nil"/>
              <w:bottom w:val="nil"/>
              <w:right w:val="nil"/>
            </w:tcBorders>
            <w:shd w:val="clear" w:color="auto" w:fill="FFFFFF"/>
          </w:tcPr>
          <w:p w14:paraId="794A4EAA"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3</w:t>
            </w:r>
          </w:p>
        </w:tc>
        <w:tc>
          <w:tcPr>
            <w:tcW w:w="4323" w:type="dxa"/>
            <w:tcBorders>
              <w:top w:val="nil"/>
              <w:left w:val="nil"/>
              <w:bottom w:val="nil"/>
              <w:right w:val="nil"/>
            </w:tcBorders>
            <w:shd w:val="clear" w:color="auto" w:fill="FFFFFF"/>
            <w:vAlign w:val="center"/>
          </w:tcPr>
          <w:p w14:paraId="32B8BA75"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PPC*dramatic*action*belief*immersive*~style*package*time</w:t>
            </w:r>
          </w:p>
        </w:tc>
        <w:tc>
          <w:tcPr>
            <w:tcW w:w="1418" w:type="dxa"/>
            <w:tcBorders>
              <w:top w:val="nil"/>
              <w:left w:val="nil"/>
              <w:bottom w:val="nil"/>
              <w:right w:val="nil"/>
            </w:tcBorders>
            <w:shd w:val="clear" w:color="auto" w:fill="FFFFFF"/>
            <w:vAlign w:val="center"/>
          </w:tcPr>
          <w:p w14:paraId="73D5E727"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0.125</w:t>
            </w:r>
          </w:p>
        </w:tc>
        <w:tc>
          <w:tcPr>
            <w:tcW w:w="1276" w:type="dxa"/>
            <w:tcBorders>
              <w:top w:val="nil"/>
              <w:left w:val="nil"/>
              <w:bottom w:val="nil"/>
              <w:right w:val="nil"/>
            </w:tcBorders>
            <w:shd w:val="clear" w:color="auto" w:fill="FFFFFF"/>
            <w:vAlign w:val="center"/>
          </w:tcPr>
          <w:p w14:paraId="7011BC66"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0.125</w:t>
            </w:r>
          </w:p>
        </w:tc>
        <w:tc>
          <w:tcPr>
            <w:tcW w:w="724" w:type="dxa"/>
            <w:tcBorders>
              <w:top w:val="nil"/>
              <w:left w:val="nil"/>
              <w:bottom w:val="nil"/>
              <w:right w:val="nil"/>
            </w:tcBorders>
            <w:shd w:val="clear" w:color="auto" w:fill="FFFFFF"/>
            <w:vAlign w:val="center"/>
          </w:tcPr>
          <w:p w14:paraId="7375915C"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1</w:t>
            </w:r>
          </w:p>
        </w:tc>
      </w:tr>
      <w:tr w:rsidR="00DA4631" w:rsidRPr="00877C4B" w14:paraId="5268E213" w14:textId="77777777">
        <w:tc>
          <w:tcPr>
            <w:tcW w:w="775" w:type="dxa"/>
            <w:tcBorders>
              <w:top w:val="nil"/>
              <w:left w:val="nil"/>
              <w:bottom w:val="nil"/>
              <w:right w:val="nil"/>
            </w:tcBorders>
            <w:shd w:val="clear" w:color="auto" w:fill="FFFFFF"/>
          </w:tcPr>
          <w:p w14:paraId="0C4BD554"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lastRenderedPageBreak/>
              <w:t>4</w:t>
            </w:r>
          </w:p>
        </w:tc>
        <w:tc>
          <w:tcPr>
            <w:tcW w:w="4323" w:type="dxa"/>
            <w:tcBorders>
              <w:top w:val="nil"/>
              <w:left w:val="nil"/>
              <w:bottom w:val="nil"/>
              <w:right w:val="nil"/>
            </w:tcBorders>
            <w:shd w:val="clear" w:color="auto" w:fill="FFFFFF"/>
            <w:vAlign w:val="center"/>
          </w:tcPr>
          <w:p w14:paraId="5443B51B"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PPC*dramatic*~knowledge*~belief*immersive*~style*package*~time</w:t>
            </w:r>
          </w:p>
        </w:tc>
        <w:tc>
          <w:tcPr>
            <w:tcW w:w="1418" w:type="dxa"/>
            <w:tcBorders>
              <w:top w:val="nil"/>
              <w:left w:val="nil"/>
              <w:bottom w:val="nil"/>
              <w:right w:val="nil"/>
            </w:tcBorders>
            <w:shd w:val="clear" w:color="auto" w:fill="FFFFFF"/>
            <w:vAlign w:val="center"/>
          </w:tcPr>
          <w:p w14:paraId="4487C0DD"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0.0625</w:t>
            </w:r>
          </w:p>
        </w:tc>
        <w:tc>
          <w:tcPr>
            <w:tcW w:w="1276" w:type="dxa"/>
            <w:tcBorders>
              <w:top w:val="nil"/>
              <w:left w:val="nil"/>
              <w:bottom w:val="nil"/>
              <w:right w:val="nil"/>
            </w:tcBorders>
            <w:shd w:val="clear" w:color="auto" w:fill="FFFFFF"/>
            <w:vAlign w:val="center"/>
          </w:tcPr>
          <w:p w14:paraId="26FEB6B4"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0.03125</w:t>
            </w:r>
          </w:p>
        </w:tc>
        <w:tc>
          <w:tcPr>
            <w:tcW w:w="724" w:type="dxa"/>
            <w:tcBorders>
              <w:top w:val="nil"/>
              <w:left w:val="nil"/>
              <w:bottom w:val="nil"/>
              <w:right w:val="nil"/>
            </w:tcBorders>
            <w:shd w:val="clear" w:color="auto" w:fill="FFFFFF"/>
            <w:vAlign w:val="center"/>
          </w:tcPr>
          <w:p w14:paraId="14B3D7C2"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1</w:t>
            </w:r>
          </w:p>
        </w:tc>
      </w:tr>
      <w:tr w:rsidR="00DA4631" w:rsidRPr="00877C4B" w14:paraId="73D84234" w14:textId="77777777">
        <w:tc>
          <w:tcPr>
            <w:tcW w:w="775" w:type="dxa"/>
            <w:tcBorders>
              <w:top w:val="nil"/>
              <w:left w:val="nil"/>
              <w:bottom w:val="nil"/>
              <w:right w:val="nil"/>
            </w:tcBorders>
            <w:shd w:val="clear" w:color="auto" w:fill="FFFFFF"/>
          </w:tcPr>
          <w:p w14:paraId="1CB5E060"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5</w:t>
            </w:r>
          </w:p>
        </w:tc>
        <w:tc>
          <w:tcPr>
            <w:tcW w:w="4323" w:type="dxa"/>
            <w:tcBorders>
              <w:top w:val="nil"/>
              <w:left w:val="nil"/>
              <w:bottom w:val="nil"/>
              <w:right w:val="nil"/>
            </w:tcBorders>
            <w:shd w:val="clear" w:color="auto" w:fill="FFFFFF"/>
            <w:vAlign w:val="center"/>
          </w:tcPr>
          <w:p w14:paraId="086D84D1"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~PPC*dramatic*~knowledge*action*~immersive*~style*package*time</w:t>
            </w:r>
          </w:p>
        </w:tc>
        <w:tc>
          <w:tcPr>
            <w:tcW w:w="1418" w:type="dxa"/>
            <w:tcBorders>
              <w:top w:val="nil"/>
              <w:left w:val="nil"/>
              <w:bottom w:val="nil"/>
              <w:right w:val="nil"/>
            </w:tcBorders>
            <w:shd w:val="clear" w:color="auto" w:fill="FFFFFF"/>
            <w:vAlign w:val="center"/>
          </w:tcPr>
          <w:p w14:paraId="6C8CF368"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0.0625</w:t>
            </w:r>
          </w:p>
        </w:tc>
        <w:tc>
          <w:tcPr>
            <w:tcW w:w="1276" w:type="dxa"/>
            <w:tcBorders>
              <w:top w:val="nil"/>
              <w:left w:val="nil"/>
              <w:bottom w:val="nil"/>
              <w:right w:val="nil"/>
            </w:tcBorders>
            <w:shd w:val="clear" w:color="auto" w:fill="FFFFFF"/>
            <w:vAlign w:val="center"/>
          </w:tcPr>
          <w:p w14:paraId="7662C06F"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0.03125</w:t>
            </w:r>
          </w:p>
        </w:tc>
        <w:tc>
          <w:tcPr>
            <w:tcW w:w="724" w:type="dxa"/>
            <w:tcBorders>
              <w:top w:val="nil"/>
              <w:left w:val="nil"/>
              <w:bottom w:val="nil"/>
              <w:right w:val="nil"/>
            </w:tcBorders>
            <w:shd w:val="clear" w:color="auto" w:fill="FFFFFF"/>
            <w:vAlign w:val="center"/>
          </w:tcPr>
          <w:p w14:paraId="457D52A4"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1</w:t>
            </w:r>
          </w:p>
        </w:tc>
      </w:tr>
      <w:tr w:rsidR="00DA4631" w:rsidRPr="00877C4B" w14:paraId="007C26AE" w14:textId="77777777">
        <w:tc>
          <w:tcPr>
            <w:tcW w:w="775" w:type="dxa"/>
            <w:tcBorders>
              <w:top w:val="nil"/>
              <w:left w:val="nil"/>
              <w:bottom w:val="nil"/>
              <w:right w:val="nil"/>
            </w:tcBorders>
            <w:shd w:val="clear" w:color="auto" w:fill="FFFFFF"/>
          </w:tcPr>
          <w:p w14:paraId="4A70C2EB"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6</w:t>
            </w:r>
          </w:p>
        </w:tc>
        <w:tc>
          <w:tcPr>
            <w:tcW w:w="4323" w:type="dxa"/>
            <w:tcBorders>
              <w:top w:val="nil"/>
              <w:left w:val="nil"/>
              <w:bottom w:val="nil"/>
              <w:right w:val="nil"/>
            </w:tcBorders>
            <w:shd w:val="clear" w:color="auto" w:fill="FFFFFF"/>
            <w:vAlign w:val="center"/>
          </w:tcPr>
          <w:p w14:paraId="62F29F4A"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~PPC*dramatic*~knowledge*action*~belief*~style*package*time</w:t>
            </w:r>
          </w:p>
        </w:tc>
        <w:tc>
          <w:tcPr>
            <w:tcW w:w="1418" w:type="dxa"/>
            <w:tcBorders>
              <w:top w:val="nil"/>
              <w:left w:val="nil"/>
              <w:bottom w:val="nil"/>
              <w:right w:val="nil"/>
            </w:tcBorders>
            <w:shd w:val="clear" w:color="auto" w:fill="FFFFFF"/>
            <w:vAlign w:val="center"/>
          </w:tcPr>
          <w:p w14:paraId="10D5C5A2"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0.0625</w:t>
            </w:r>
          </w:p>
        </w:tc>
        <w:tc>
          <w:tcPr>
            <w:tcW w:w="1276" w:type="dxa"/>
            <w:tcBorders>
              <w:top w:val="nil"/>
              <w:left w:val="nil"/>
              <w:bottom w:val="nil"/>
              <w:right w:val="nil"/>
            </w:tcBorders>
            <w:shd w:val="clear" w:color="auto" w:fill="FFFFFF"/>
            <w:vAlign w:val="center"/>
          </w:tcPr>
          <w:p w14:paraId="740B92F8"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0.03125</w:t>
            </w:r>
          </w:p>
        </w:tc>
        <w:tc>
          <w:tcPr>
            <w:tcW w:w="724" w:type="dxa"/>
            <w:tcBorders>
              <w:top w:val="nil"/>
              <w:left w:val="nil"/>
              <w:bottom w:val="nil"/>
              <w:right w:val="nil"/>
            </w:tcBorders>
            <w:shd w:val="clear" w:color="auto" w:fill="FFFFFF"/>
            <w:vAlign w:val="center"/>
          </w:tcPr>
          <w:p w14:paraId="7B1219FE"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1</w:t>
            </w:r>
          </w:p>
        </w:tc>
      </w:tr>
      <w:tr w:rsidR="00DA4631" w:rsidRPr="00877C4B" w14:paraId="39160590" w14:textId="77777777">
        <w:tc>
          <w:tcPr>
            <w:tcW w:w="775" w:type="dxa"/>
            <w:tcBorders>
              <w:top w:val="nil"/>
              <w:left w:val="nil"/>
              <w:bottom w:val="nil"/>
              <w:right w:val="nil"/>
            </w:tcBorders>
            <w:shd w:val="clear" w:color="auto" w:fill="FFFFFF"/>
          </w:tcPr>
          <w:p w14:paraId="35E48900"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7</w:t>
            </w:r>
          </w:p>
        </w:tc>
        <w:tc>
          <w:tcPr>
            <w:tcW w:w="4323" w:type="dxa"/>
            <w:tcBorders>
              <w:top w:val="nil"/>
              <w:left w:val="nil"/>
              <w:bottom w:val="nil"/>
              <w:right w:val="nil"/>
            </w:tcBorders>
            <w:shd w:val="clear" w:color="auto" w:fill="FFFFFF"/>
            <w:vAlign w:val="center"/>
          </w:tcPr>
          <w:p w14:paraId="1B6889CA"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~PPC*~dramatic*~knowledge*action*~belief*~immersive*style*package*~time</w:t>
            </w:r>
          </w:p>
        </w:tc>
        <w:tc>
          <w:tcPr>
            <w:tcW w:w="1418" w:type="dxa"/>
            <w:tcBorders>
              <w:top w:val="nil"/>
              <w:left w:val="nil"/>
              <w:bottom w:val="nil"/>
              <w:right w:val="nil"/>
            </w:tcBorders>
            <w:shd w:val="clear" w:color="auto" w:fill="FFFFFF"/>
            <w:vAlign w:val="center"/>
          </w:tcPr>
          <w:p w14:paraId="147ABF96"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0.0625</w:t>
            </w:r>
          </w:p>
        </w:tc>
        <w:tc>
          <w:tcPr>
            <w:tcW w:w="1276" w:type="dxa"/>
            <w:tcBorders>
              <w:top w:val="nil"/>
              <w:left w:val="nil"/>
              <w:bottom w:val="nil"/>
              <w:right w:val="nil"/>
            </w:tcBorders>
            <w:shd w:val="clear" w:color="auto" w:fill="FFFFFF"/>
            <w:vAlign w:val="center"/>
          </w:tcPr>
          <w:p w14:paraId="44148F9F"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0.0625</w:t>
            </w:r>
          </w:p>
        </w:tc>
        <w:tc>
          <w:tcPr>
            <w:tcW w:w="724" w:type="dxa"/>
            <w:tcBorders>
              <w:top w:val="nil"/>
              <w:left w:val="nil"/>
              <w:bottom w:val="nil"/>
              <w:right w:val="nil"/>
            </w:tcBorders>
            <w:shd w:val="clear" w:color="auto" w:fill="FFFFFF"/>
            <w:vAlign w:val="center"/>
          </w:tcPr>
          <w:p w14:paraId="63D68E17"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1</w:t>
            </w:r>
          </w:p>
        </w:tc>
      </w:tr>
      <w:tr w:rsidR="00DA4631" w:rsidRPr="00877C4B" w14:paraId="50FB0808" w14:textId="77777777">
        <w:tc>
          <w:tcPr>
            <w:tcW w:w="775" w:type="dxa"/>
            <w:tcBorders>
              <w:top w:val="nil"/>
              <w:left w:val="nil"/>
              <w:bottom w:val="nil"/>
              <w:right w:val="nil"/>
            </w:tcBorders>
            <w:shd w:val="clear" w:color="auto" w:fill="FFFFFF"/>
          </w:tcPr>
          <w:p w14:paraId="1CE02CCC"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8</w:t>
            </w:r>
          </w:p>
        </w:tc>
        <w:tc>
          <w:tcPr>
            <w:tcW w:w="4323" w:type="dxa"/>
            <w:tcBorders>
              <w:top w:val="nil"/>
              <w:left w:val="nil"/>
              <w:bottom w:val="nil"/>
              <w:right w:val="nil"/>
            </w:tcBorders>
            <w:shd w:val="clear" w:color="auto" w:fill="FFFFFF"/>
            <w:vAlign w:val="center"/>
          </w:tcPr>
          <w:p w14:paraId="5F234C86"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~PPC*~dramatic*knowledge*~action*~belief*~immersive*~style*package*time</w:t>
            </w:r>
          </w:p>
        </w:tc>
        <w:tc>
          <w:tcPr>
            <w:tcW w:w="1418" w:type="dxa"/>
            <w:tcBorders>
              <w:top w:val="nil"/>
              <w:left w:val="nil"/>
              <w:bottom w:val="nil"/>
              <w:right w:val="nil"/>
            </w:tcBorders>
            <w:shd w:val="clear" w:color="auto" w:fill="FFFFFF"/>
            <w:vAlign w:val="center"/>
          </w:tcPr>
          <w:p w14:paraId="683B9648"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0.03125</w:t>
            </w:r>
          </w:p>
        </w:tc>
        <w:tc>
          <w:tcPr>
            <w:tcW w:w="1276" w:type="dxa"/>
            <w:tcBorders>
              <w:top w:val="nil"/>
              <w:left w:val="nil"/>
              <w:bottom w:val="nil"/>
              <w:right w:val="nil"/>
            </w:tcBorders>
            <w:shd w:val="clear" w:color="auto" w:fill="FFFFFF"/>
            <w:vAlign w:val="center"/>
          </w:tcPr>
          <w:p w14:paraId="51012DAF"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0.03125</w:t>
            </w:r>
          </w:p>
        </w:tc>
        <w:tc>
          <w:tcPr>
            <w:tcW w:w="724" w:type="dxa"/>
            <w:tcBorders>
              <w:top w:val="nil"/>
              <w:left w:val="nil"/>
              <w:bottom w:val="nil"/>
              <w:right w:val="nil"/>
            </w:tcBorders>
            <w:shd w:val="clear" w:color="auto" w:fill="FFFFFF"/>
            <w:vAlign w:val="center"/>
          </w:tcPr>
          <w:p w14:paraId="35427122"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1</w:t>
            </w:r>
          </w:p>
        </w:tc>
      </w:tr>
      <w:tr w:rsidR="00DA4631" w:rsidRPr="00877C4B" w14:paraId="5FB35641" w14:textId="77777777">
        <w:tc>
          <w:tcPr>
            <w:tcW w:w="775" w:type="dxa"/>
            <w:tcBorders>
              <w:top w:val="nil"/>
              <w:left w:val="nil"/>
              <w:bottom w:val="nil"/>
              <w:right w:val="nil"/>
            </w:tcBorders>
            <w:shd w:val="clear" w:color="auto" w:fill="FFFFFF"/>
          </w:tcPr>
          <w:p w14:paraId="496FFD36"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9</w:t>
            </w:r>
          </w:p>
        </w:tc>
        <w:tc>
          <w:tcPr>
            <w:tcW w:w="4323" w:type="dxa"/>
            <w:tcBorders>
              <w:top w:val="nil"/>
              <w:left w:val="nil"/>
              <w:bottom w:val="nil"/>
              <w:right w:val="nil"/>
            </w:tcBorders>
            <w:shd w:val="clear" w:color="auto" w:fill="FFFFFF"/>
            <w:vAlign w:val="center"/>
          </w:tcPr>
          <w:p w14:paraId="6851E671"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PPC*~dramatic*knowledge*action*~belief*immersive*~style*package*time</w:t>
            </w:r>
          </w:p>
        </w:tc>
        <w:tc>
          <w:tcPr>
            <w:tcW w:w="1418" w:type="dxa"/>
            <w:tcBorders>
              <w:top w:val="nil"/>
              <w:left w:val="nil"/>
              <w:bottom w:val="nil"/>
              <w:right w:val="nil"/>
            </w:tcBorders>
            <w:shd w:val="clear" w:color="auto" w:fill="FFFFFF"/>
            <w:vAlign w:val="center"/>
          </w:tcPr>
          <w:p w14:paraId="2902777C"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0.03125</w:t>
            </w:r>
          </w:p>
        </w:tc>
        <w:tc>
          <w:tcPr>
            <w:tcW w:w="1276" w:type="dxa"/>
            <w:tcBorders>
              <w:top w:val="nil"/>
              <w:left w:val="nil"/>
              <w:bottom w:val="nil"/>
              <w:right w:val="nil"/>
            </w:tcBorders>
            <w:shd w:val="clear" w:color="auto" w:fill="FFFFFF"/>
            <w:vAlign w:val="center"/>
          </w:tcPr>
          <w:p w14:paraId="5EAEA23E"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0.03125</w:t>
            </w:r>
          </w:p>
        </w:tc>
        <w:tc>
          <w:tcPr>
            <w:tcW w:w="724" w:type="dxa"/>
            <w:tcBorders>
              <w:top w:val="nil"/>
              <w:left w:val="nil"/>
              <w:bottom w:val="nil"/>
              <w:right w:val="nil"/>
            </w:tcBorders>
            <w:shd w:val="clear" w:color="auto" w:fill="FFFFFF"/>
            <w:vAlign w:val="center"/>
          </w:tcPr>
          <w:p w14:paraId="6C930853"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1</w:t>
            </w:r>
          </w:p>
        </w:tc>
      </w:tr>
      <w:tr w:rsidR="00DA4631" w:rsidRPr="00877C4B" w14:paraId="002737F1" w14:textId="77777777">
        <w:tc>
          <w:tcPr>
            <w:tcW w:w="775" w:type="dxa"/>
            <w:tcBorders>
              <w:top w:val="nil"/>
              <w:left w:val="nil"/>
              <w:bottom w:val="nil"/>
              <w:right w:val="nil"/>
            </w:tcBorders>
            <w:shd w:val="clear" w:color="auto" w:fill="FFFFFF"/>
          </w:tcPr>
          <w:p w14:paraId="7E00F06C"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10</w:t>
            </w:r>
          </w:p>
        </w:tc>
        <w:tc>
          <w:tcPr>
            <w:tcW w:w="4323" w:type="dxa"/>
            <w:tcBorders>
              <w:top w:val="nil"/>
              <w:left w:val="nil"/>
              <w:bottom w:val="nil"/>
              <w:right w:val="nil"/>
            </w:tcBorders>
            <w:shd w:val="clear" w:color="auto" w:fill="FFFFFF"/>
            <w:vAlign w:val="center"/>
          </w:tcPr>
          <w:p w14:paraId="05146642"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PPC*dramatic*~knowledge*action*~belief*~immersive*style*package*time</w:t>
            </w:r>
          </w:p>
        </w:tc>
        <w:tc>
          <w:tcPr>
            <w:tcW w:w="1418" w:type="dxa"/>
            <w:tcBorders>
              <w:top w:val="nil"/>
              <w:left w:val="nil"/>
              <w:bottom w:val="nil"/>
              <w:right w:val="nil"/>
            </w:tcBorders>
            <w:shd w:val="clear" w:color="auto" w:fill="FFFFFF"/>
            <w:vAlign w:val="center"/>
          </w:tcPr>
          <w:p w14:paraId="7AA3B1BD"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0.03125</w:t>
            </w:r>
          </w:p>
        </w:tc>
        <w:tc>
          <w:tcPr>
            <w:tcW w:w="1276" w:type="dxa"/>
            <w:tcBorders>
              <w:top w:val="nil"/>
              <w:left w:val="nil"/>
              <w:bottom w:val="nil"/>
              <w:right w:val="nil"/>
            </w:tcBorders>
            <w:shd w:val="clear" w:color="auto" w:fill="FFFFFF"/>
            <w:vAlign w:val="center"/>
          </w:tcPr>
          <w:p w14:paraId="74E68F9A"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0.03125</w:t>
            </w:r>
          </w:p>
        </w:tc>
        <w:tc>
          <w:tcPr>
            <w:tcW w:w="724" w:type="dxa"/>
            <w:tcBorders>
              <w:top w:val="nil"/>
              <w:left w:val="nil"/>
              <w:bottom w:val="nil"/>
              <w:right w:val="nil"/>
            </w:tcBorders>
            <w:shd w:val="clear" w:color="auto" w:fill="FFFFFF"/>
            <w:vAlign w:val="center"/>
          </w:tcPr>
          <w:p w14:paraId="4C1FEF2C"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1</w:t>
            </w:r>
          </w:p>
        </w:tc>
      </w:tr>
      <w:tr w:rsidR="00DA4631" w:rsidRPr="00877C4B" w14:paraId="47CA8D6B" w14:textId="77777777">
        <w:tc>
          <w:tcPr>
            <w:tcW w:w="775" w:type="dxa"/>
            <w:tcBorders>
              <w:top w:val="nil"/>
              <w:left w:val="nil"/>
              <w:bottom w:val="nil"/>
              <w:right w:val="nil"/>
            </w:tcBorders>
            <w:shd w:val="clear" w:color="auto" w:fill="FFFFFF"/>
          </w:tcPr>
          <w:p w14:paraId="7B99BA91" w14:textId="77777777" w:rsidR="00274063" w:rsidRPr="00877C4B" w:rsidRDefault="007D4ACE" w:rsidP="00DA4631">
            <w:pPr>
              <w:adjustRightInd w:val="0"/>
              <w:snapToGrid w:val="0"/>
              <w:spacing w:line="480" w:lineRule="auto"/>
              <w:rPr>
                <w:rFonts w:ascii="Times New Roman" w:hAnsi="Times New Roman" w:cs="Times New Roman"/>
                <w:color w:val="000000" w:themeColor="text1"/>
              </w:rPr>
            </w:pPr>
            <w:r w:rsidRPr="00877C4B">
              <w:rPr>
                <w:rFonts w:ascii="Times New Roman" w:hAnsi="Times New Roman" w:cs="Times New Roman"/>
                <w:color w:val="000000" w:themeColor="text1"/>
              </w:rPr>
              <w:t>11</w:t>
            </w:r>
          </w:p>
        </w:tc>
        <w:tc>
          <w:tcPr>
            <w:tcW w:w="4323" w:type="dxa"/>
            <w:tcBorders>
              <w:top w:val="nil"/>
              <w:left w:val="nil"/>
              <w:bottom w:val="nil"/>
              <w:right w:val="nil"/>
            </w:tcBorders>
            <w:shd w:val="clear" w:color="auto" w:fill="FFFFFF"/>
            <w:vAlign w:val="center"/>
          </w:tcPr>
          <w:p w14:paraId="53973859"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PPC*dramatic*~knowledge*~action*~belief*immersive*style*package*time</w:t>
            </w:r>
          </w:p>
        </w:tc>
        <w:tc>
          <w:tcPr>
            <w:tcW w:w="1418" w:type="dxa"/>
            <w:tcBorders>
              <w:top w:val="nil"/>
              <w:left w:val="nil"/>
              <w:bottom w:val="nil"/>
              <w:right w:val="nil"/>
            </w:tcBorders>
            <w:shd w:val="clear" w:color="auto" w:fill="FFFFFF"/>
            <w:vAlign w:val="center"/>
          </w:tcPr>
          <w:p w14:paraId="6B59974E"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0.0625</w:t>
            </w:r>
          </w:p>
        </w:tc>
        <w:tc>
          <w:tcPr>
            <w:tcW w:w="1276" w:type="dxa"/>
            <w:tcBorders>
              <w:top w:val="nil"/>
              <w:left w:val="nil"/>
              <w:bottom w:val="nil"/>
              <w:right w:val="nil"/>
            </w:tcBorders>
            <w:shd w:val="clear" w:color="auto" w:fill="FFFFFF"/>
            <w:vAlign w:val="center"/>
          </w:tcPr>
          <w:p w14:paraId="670E7788"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0.0625</w:t>
            </w:r>
          </w:p>
        </w:tc>
        <w:tc>
          <w:tcPr>
            <w:tcW w:w="724" w:type="dxa"/>
            <w:tcBorders>
              <w:top w:val="nil"/>
              <w:left w:val="nil"/>
              <w:bottom w:val="nil"/>
              <w:right w:val="nil"/>
            </w:tcBorders>
            <w:shd w:val="clear" w:color="auto" w:fill="FFFFFF"/>
            <w:vAlign w:val="center"/>
          </w:tcPr>
          <w:p w14:paraId="310C8156"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rPr>
            </w:pPr>
            <w:r w:rsidRPr="00877C4B">
              <w:rPr>
                <w:rFonts w:ascii="Times New Roman" w:hAnsi="Times New Roman" w:cs="Times New Roman"/>
                <w:color w:val="000000" w:themeColor="text1"/>
                <w:lang w:bidi="ar"/>
              </w:rPr>
              <w:t>1</w:t>
            </w:r>
          </w:p>
        </w:tc>
      </w:tr>
      <w:tr w:rsidR="00DA4631" w:rsidRPr="00877C4B" w14:paraId="5370B3BE" w14:textId="77777777">
        <w:tc>
          <w:tcPr>
            <w:tcW w:w="5098" w:type="dxa"/>
            <w:gridSpan w:val="2"/>
            <w:tcBorders>
              <w:top w:val="nil"/>
              <w:left w:val="nil"/>
              <w:bottom w:val="nil"/>
              <w:right w:val="nil"/>
            </w:tcBorders>
            <w:shd w:val="clear" w:color="auto" w:fill="FFFFFF"/>
          </w:tcPr>
          <w:p w14:paraId="40A01F28"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lang w:bidi="ar"/>
              </w:rPr>
            </w:pPr>
            <w:r w:rsidRPr="00877C4B">
              <w:rPr>
                <w:rFonts w:ascii="Times New Roman" w:hAnsi="Times New Roman" w:cs="Times New Roman"/>
                <w:color w:val="000000" w:themeColor="text1"/>
                <w:lang w:bidi="ar"/>
              </w:rPr>
              <w:t>Overall coverage</w:t>
            </w:r>
          </w:p>
        </w:tc>
        <w:tc>
          <w:tcPr>
            <w:tcW w:w="3418" w:type="dxa"/>
            <w:gridSpan w:val="3"/>
            <w:tcBorders>
              <w:top w:val="nil"/>
              <w:left w:val="nil"/>
              <w:bottom w:val="nil"/>
              <w:right w:val="nil"/>
            </w:tcBorders>
            <w:shd w:val="clear" w:color="auto" w:fill="FFFFFF"/>
            <w:vAlign w:val="center"/>
          </w:tcPr>
          <w:p w14:paraId="59D820D7"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lang w:bidi="ar"/>
              </w:rPr>
            </w:pPr>
            <w:r w:rsidRPr="00877C4B">
              <w:rPr>
                <w:rFonts w:ascii="Times New Roman" w:hAnsi="Times New Roman" w:cs="Times New Roman"/>
                <w:color w:val="000000" w:themeColor="text1"/>
                <w:lang w:bidi="ar"/>
              </w:rPr>
              <w:t>0.8125</w:t>
            </w:r>
          </w:p>
        </w:tc>
      </w:tr>
      <w:tr w:rsidR="00DA4631" w:rsidRPr="00877C4B" w14:paraId="54034A31" w14:textId="77777777">
        <w:tc>
          <w:tcPr>
            <w:tcW w:w="5098" w:type="dxa"/>
            <w:gridSpan w:val="2"/>
            <w:tcBorders>
              <w:top w:val="nil"/>
              <w:left w:val="nil"/>
              <w:bottom w:val="single" w:sz="12" w:space="0" w:color="000000"/>
              <w:right w:val="nil"/>
            </w:tcBorders>
            <w:shd w:val="clear" w:color="auto" w:fill="FFFFFF"/>
          </w:tcPr>
          <w:p w14:paraId="25AC5F7C"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lang w:bidi="ar"/>
              </w:rPr>
            </w:pPr>
            <w:r w:rsidRPr="00877C4B">
              <w:rPr>
                <w:rFonts w:ascii="Times New Roman" w:hAnsi="Times New Roman" w:cs="Times New Roman"/>
                <w:color w:val="000000" w:themeColor="text1"/>
                <w:lang w:bidi="ar"/>
              </w:rPr>
              <w:t>Overall consistency</w:t>
            </w:r>
          </w:p>
        </w:tc>
        <w:tc>
          <w:tcPr>
            <w:tcW w:w="3418" w:type="dxa"/>
            <w:gridSpan w:val="3"/>
            <w:tcBorders>
              <w:top w:val="nil"/>
              <w:left w:val="nil"/>
              <w:bottom w:val="single" w:sz="12" w:space="0" w:color="000000"/>
              <w:right w:val="nil"/>
            </w:tcBorders>
            <w:shd w:val="clear" w:color="auto" w:fill="FFFFFF"/>
            <w:vAlign w:val="center"/>
          </w:tcPr>
          <w:p w14:paraId="60D7DB42" w14:textId="77777777" w:rsidR="00274063" w:rsidRPr="00877C4B" w:rsidRDefault="007D4ACE" w:rsidP="00DA4631">
            <w:pPr>
              <w:widowControl/>
              <w:adjustRightInd w:val="0"/>
              <w:snapToGrid w:val="0"/>
              <w:spacing w:line="480" w:lineRule="auto"/>
              <w:textAlignment w:val="center"/>
              <w:rPr>
                <w:rFonts w:ascii="Times New Roman" w:hAnsi="Times New Roman" w:cs="Times New Roman"/>
                <w:color w:val="000000" w:themeColor="text1"/>
                <w:lang w:bidi="ar"/>
              </w:rPr>
            </w:pPr>
            <w:r w:rsidRPr="00877C4B">
              <w:rPr>
                <w:rFonts w:ascii="Times New Roman" w:hAnsi="Times New Roman" w:cs="Times New Roman"/>
                <w:color w:val="000000" w:themeColor="text1"/>
                <w:lang w:bidi="ar"/>
              </w:rPr>
              <w:t>1</w:t>
            </w:r>
          </w:p>
        </w:tc>
      </w:tr>
    </w:tbl>
    <w:p w14:paraId="1D422420" w14:textId="77777777" w:rsidR="00274063" w:rsidRPr="00877C4B" w:rsidRDefault="00274063" w:rsidP="00DA4631">
      <w:pPr>
        <w:adjustRightInd w:val="0"/>
        <w:snapToGrid w:val="0"/>
        <w:spacing w:line="480" w:lineRule="auto"/>
        <w:jc w:val="both"/>
        <w:rPr>
          <w:rFonts w:ascii="Times New Roman" w:hAnsi="Times New Roman" w:cs="Times New Roman"/>
          <w:color w:val="000000" w:themeColor="text1"/>
        </w:rPr>
      </w:pPr>
    </w:p>
    <w:p w14:paraId="0D70AFCD" w14:textId="77777777" w:rsidR="00274063" w:rsidRPr="00877C4B" w:rsidRDefault="007D4ACE" w:rsidP="00DA4631">
      <w:pPr>
        <w:adjustRightInd w:val="0"/>
        <w:snapToGrid w:val="0"/>
        <w:spacing w:line="480" w:lineRule="auto"/>
        <w:ind w:firstLineChars="200" w:firstLine="480"/>
        <w:jc w:val="both"/>
        <w:outlineLvl w:val="2"/>
        <w:rPr>
          <w:rFonts w:ascii="Times New Roman" w:hAnsi="Times New Roman" w:cs="Times New Roman"/>
          <w:color w:val="000000" w:themeColor="text1"/>
        </w:rPr>
      </w:pPr>
      <w:r w:rsidRPr="00877C4B">
        <w:rPr>
          <w:rFonts w:ascii="Times New Roman" w:hAnsi="Times New Roman" w:cs="Times New Roman"/>
          <w:color w:val="000000" w:themeColor="text1"/>
        </w:rPr>
        <w:t xml:space="preserve">Through the variable combination analysis, a total of 11 combination paths were identified, with an overall consistency of 1 and a coverage rate of 0.815. This indicates that these paths can explain the majority of the sample cases. The results reveal that the combination of content elements leading to high communication effectiveness is not fixed; various factors can interact in different ways to produce high communication effects. Among the 11 paths, the first three demonstrate the highest coverage and </w:t>
      </w:r>
      <w:r w:rsidRPr="00877C4B">
        <w:rPr>
          <w:rFonts w:ascii="Times New Roman" w:hAnsi="Times New Roman" w:cs="Times New Roman"/>
          <w:color w:val="000000" w:themeColor="text1"/>
        </w:rPr>
        <w:lastRenderedPageBreak/>
        <w:t>explain a larger proportion of the samples. Therefore, this study focuses on these three paths.</w:t>
      </w:r>
    </w:p>
    <w:p w14:paraId="37150C96" w14:textId="77777777" w:rsidR="00274063" w:rsidRPr="00877C4B" w:rsidRDefault="007D4ACE" w:rsidP="00DA4631">
      <w:pPr>
        <w:adjustRightInd w:val="0"/>
        <w:snapToGrid w:val="0"/>
        <w:spacing w:line="480" w:lineRule="auto"/>
        <w:jc w:val="both"/>
        <w:outlineLvl w:val="2"/>
        <w:rPr>
          <w:rFonts w:ascii="Times New Roman" w:hAnsi="Times New Roman" w:cs="Times New Roman"/>
          <w:b/>
          <w:bCs/>
          <w:color w:val="000000" w:themeColor="text1"/>
        </w:rPr>
      </w:pPr>
      <w:r w:rsidRPr="00877C4B">
        <w:rPr>
          <w:rFonts w:ascii="Times New Roman" w:hAnsi="Times New Roman" w:cs="Times New Roman"/>
          <w:b/>
          <w:bCs/>
          <w:color w:val="000000" w:themeColor="text1"/>
        </w:rPr>
        <w:t>Path 1: Edutainment Short Drama</w:t>
      </w:r>
    </w:p>
    <w:p w14:paraId="3D90AA6A"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b/>
          <w:bCs/>
          <w:color w:val="000000" w:themeColor="text1"/>
        </w:rPr>
        <w:t>(Doctor-patient Interaction * Dramatic Feature * No Knowledge Clue * Action Clue * No Belief Clue* Immersive Perspective * Technical Packaging * Short Duration)</w:t>
      </w:r>
    </w:p>
    <w:p w14:paraId="71E668C4" w14:textId="77777777" w:rsidR="00274063" w:rsidRPr="00877C4B" w:rsidRDefault="007D4ACE" w:rsidP="00CE14DB">
      <w:pPr>
        <w:tabs>
          <w:tab w:val="left" w:pos="720"/>
        </w:tabs>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Typical examples of this path include “Contemporary Cattle and Horse Syndrome!” and “Get in There!” In the short video series produced by the Shenzhen Health Commission, a unique dramatic perspective is employed to deliver humorous complaints. This path captivates the audience with drama and humor while subtly integrating medical knowledge. The role of the doctor helps dispel misunderstandings by providing accurate medical explanations in an engaging manner. This approach allows the public to acquire knowledge while laughing and encourages them to apply this information in their daily lives. The short duration and careful technical packaging, including high-quality visuals and smooth editing, enhance the audience's experience and ensure that the videos are easily shared and absorbed.</w:t>
      </w:r>
    </w:p>
    <w:p w14:paraId="2F4E1340" w14:textId="77777777" w:rsidR="00274063" w:rsidRPr="00877C4B" w:rsidRDefault="007D4ACE" w:rsidP="00DA4631">
      <w:pPr>
        <w:adjustRightInd w:val="0"/>
        <w:snapToGrid w:val="0"/>
        <w:spacing w:line="480" w:lineRule="auto"/>
        <w:jc w:val="both"/>
        <w:outlineLvl w:val="2"/>
        <w:rPr>
          <w:rFonts w:ascii="Times New Roman" w:hAnsi="Times New Roman" w:cs="Times New Roman"/>
          <w:b/>
          <w:bCs/>
          <w:color w:val="000000" w:themeColor="text1"/>
        </w:rPr>
      </w:pPr>
      <w:r w:rsidRPr="00877C4B">
        <w:rPr>
          <w:rFonts w:ascii="Times New Roman" w:hAnsi="Times New Roman" w:cs="Times New Roman"/>
          <w:b/>
          <w:bCs/>
          <w:color w:val="000000" w:themeColor="text1"/>
        </w:rPr>
        <w:t>Path 2: Collaboration with Internet-Famous Doctors</w:t>
      </w:r>
    </w:p>
    <w:p w14:paraId="61455564" w14:textId="77777777" w:rsidR="00274063" w:rsidRPr="00877C4B" w:rsidRDefault="007D4ACE" w:rsidP="00DA4631">
      <w:pPr>
        <w:adjustRightInd w:val="0"/>
        <w:snapToGrid w:val="0"/>
        <w:spacing w:line="480" w:lineRule="auto"/>
        <w:jc w:val="both"/>
        <w:rPr>
          <w:rFonts w:ascii="Times New Roman" w:hAnsi="Times New Roman" w:cs="Times New Roman"/>
          <w:b/>
          <w:bCs/>
          <w:color w:val="000000" w:themeColor="text1"/>
        </w:rPr>
      </w:pPr>
      <w:r w:rsidRPr="00877C4B">
        <w:rPr>
          <w:rFonts w:ascii="Times New Roman" w:hAnsi="Times New Roman" w:cs="Times New Roman"/>
          <w:b/>
          <w:bCs/>
          <w:color w:val="000000" w:themeColor="text1"/>
        </w:rPr>
        <w:t>(Doctor-patient Subject Interaction * No Dramatic Feature * Knowledge Clue * Action Clue * Non-immersive Perspective * Relaxed and Humorous * Technical Packaging * Long Duration)</w:t>
      </w:r>
    </w:p>
    <w:p w14:paraId="29BF07D3" w14:textId="77777777" w:rsidR="00AC4D12" w:rsidRDefault="007D4ACE" w:rsidP="00CE14DB">
      <w:pPr>
        <w:tabs>
          <w:tab w:val="left" w:pos="720"/>
        </w:tabs>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Examples such as "Foreign object! No hole is too small!" and "Snoring companions, sleepless nights. Does your sleep buddy snore?" represent this narrative path. These videos effectively popularize public health knowledge and have given rise to internet celebrities such as "Doctor Mouth," known for their humor, and "Doctor with Mole," who explains medical topics using relatable life examples. Their simple style and humorous expressions transform complex medical information into accessible content, </w:t>
      </w:r>
      <w:r w:rsidRPr="00877C4B">
        <w:rPr>
          <w:rFonts w:ascii="Times New Roman" w:hAnsi="Times New Roman" w:cs="Times New Roman"/>
          <w:color w:val="000000" w:themeColor="text1"/>
        </w:rPr>
        <w:lastRenderedPageBreak/>
        <w:t xml:space="preserve">bridging the gap between doctors and the public. The non-immersive perspective and humorous narration make health knowledge more approachable, while technical elements such as visual effects and editing techniques enhance the content's potential for viewing and sharing. </w:t>
      </w:r>
    </w:p>
    <w:p w14:paraId="3BE9C0AF" w14:textId="6FE4708F" w:rsidR="00274063" w:rsidRPr="00877C4B" w:rsidRDefault="007D4ACE" w:rsidP="0088487D">
      <w:pPr>
        <w:adjustRightInd w:val="0"/>
        <w:snapToGrid w:val="0"/>
        <w:spacing w:line="480" w:lineRule="auto"/>
        <w:jc w:val="both"/>
        <w:outlineLvl w:val="2"/>
        <w:rPr>
          <w:rFonts w:ascii="Times New Roman" w:hAnsi="Times New Roman" w:cs="Times New Roman"/>
          <w:b/>
          <w:bCs/>
          <w:color w:val="000000" w:themeColor="text1"/>
        </w:rPr>
      </w:pPr>
      <w:r w:rsidRPr="00877C4B">
        <w:rPr>
          <w:rFonts w:ascii="Times New Roman" w:hAnsi="Times New Roman" w:cs="Times New Roman"/>
          <w:b/>
          <w:bCs/>
          <w:color w:val="000000" w:themeColor="text1"/>
        </w:rPr>
        <w:t>Path 3: Emotional Resonance Short Drama</w:t>
      </w:r>
    </w:p>
    <w:p w14:paraId="1191CDDF" w14:textId="77777777" w:rsidR="00274063" w:rsidRPr="00877C4B" w:rsidRDefault="007D4ACE" w:rsidP="00DA4631">
      <w:pPr>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b/>
          <w:bCs/>
          <w:color w:val="000000" w:themeColor="text1"/>
        </w:rPr>
        <w:t>(Doctor-patient Interaction * Dramatic Feature * Action Clue * Belief Clue * Immersive Perspective * Serious and Rational * Technical Packaging * Long Duration)</w:t>
      </w:r>
    </w:p>
    <w:p w14:paraId="2193A4C0" w14:textId="77777777" w:rsidR="00274063" w:rsidRPr="00877C4B" w:rsidRDefault="007D4ACE" w:rsidP="00CE14DB">
      <w:pPr>
        <w:tabs>
          <w:tab w:val="left" w:pos="720"/>
        </w:tabs>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Typical cases such as “Parents of Children with Autism: 'As long as he can live well, that's enough.'” and “Have You Encountered Unfair Treatment in the Workplace?” utilize an immersive perspective to portray the inner struggles of patients, generating strong emotional resonance. These videos not only highlight the pain and hardship of individuals but also convey a message of hope and support. The combination of "dramatic feature" and "immersive perspective" invites the audience into the narrative, fostering deep empathy and reflection. This path, despite its serious tone, appeals to the audience through sincerity and depth. The longer format facilitates a more thorough narrative, giving viewers ample time to process and engage with the content.</w:t>
      </w:r>
    </w:p>
    <w:p w14:paraId="38243131" w14:textId="77777777" w:rsidR="00274063" w:rsidRPr="00877C4B" w:rsidRDefault="00274063" w:rsidP="00DA4631">
      <w:pPr>
        <w:adjustRightInd w:val="0"/>
        <w:snapToGrid w:val="0"/>
        <w:spacing w:line="480" w:lineRule="auto"/>
        <w:jc w:val="both"/>
        <w:rPr>
          <w:rFonts w:ascii="Times New Roman" w:hAnsi="Times New Roman" w:cs="Times New Roman"/>
          <w:b/>
          <w:bCs/>
          <w:color w:val="000000" w:themeColor="text1"/>
        </w:rPr>
      </w:pPr>
    </w:p>
    <w:p w14:paraId="5F7FFDAA" w14:textId="77777777" w:rsidR="00274063" w:rsidRPr="00877C4B" w:rsidRDefault="007D4ACE" w:rsidP="00DA4631">
      <w:pPr>
        <w:adjustRightInd w:val="0"/>
        <w:snapToGrid w:val="0"/>
        <w:spacing w:line="480" w:lineRule="auto"/>
        <w:jc w:val="both"/>
        <w:rPr>
          <w:rFonts w:ascii="Times New Roman" w:hAnsi="Times New Roman" w:cs="Times New Roman"/>
          <w:b/>
          <w:color w:val="000000" w:themeColor="text1"/>
        </w:rPr>
      </w:pPr>
      <w:r w:rsidRPr="00877C4B">
        <w:rPr>
          <w:rFonts w:ascii="Times New Roman" w:hAnsi="Times New Roman" w:cs="Times New Roman"/>
          <w:b/>
          <w:color w:val="000000" w:themeColor="text1"/>
        </w:rPr>
        <w:t>5. Research Conclusion</w:t>
      </w:r>
    </w:p>
    <w:p w14:paraId="4C334CEE" w14:textId="77777777" w:rsidR="00274063" w:rsidRPr="00877C4B" w:rsidRDefault="007D4ACE" w:rsidP="00DA4631">
      <w:pPr>
        <w:pStyle w:val="a5"/>
        <w:adjustRightInd w:val="0"/>
        <w:snapToGrid w:val="0"/>
        <w:spacing w:before="0" w:beforeAutospacing="0" w:after="0" w:afterAutospacing="0" w:line="480" w:lineRule="auto"/>
        <w:jc w:val="both"/>
        <w:rPr>
          <w:rFonts w:ascii="Times New Roman" w:hAnsi="Times New Roman" w:cs="Times New Roman"/>
          <w:b/>
          <w:color w:val="000000" w:themeColor="text1"/>
        </w:rPr>
      </w:pPr>
      <w:r w:rsidRPr="00877C4B">
        <w:rPr>
          <w:rFonts w:ascii="Times New Roman" w:hAnsi="Times New Roman" w:cs="Times New Roman"/>
          <w:b/>
          <w:color w:val="000000" w:themeColor="text1"/>
        </w:rPr>
        <w:t>5.1 Implications</w:t>
      </w:r>
    </w:p>
    <w:p w14:paraId="671B2F0F" w14:textId="77777777" w:rsidR="00274063" w:rsidRPr="00877C4B" w:rsidRDefault="007D4ACE" w:rsidP="00CE14DB">
      <w:pPr>
        <w:tabs>
          <w:tab w:val="left" w:pos="720"/>
        </w:tabs>
        <w:adjustRightInd w:val="0"/>
        <w:snapToGrid w:val="0"/>
        <w:spacing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This study also offers some insights for health communication practices on government social media:</w:t>
      </w:r>
    </w:p>
    <w:p w14:paraId="18E9422C" w14:textId="77777777" w:rsidR="00274063" w:rsidRPr="00877C4B" w:rsidRDefault="007D4ACE" w:rsidP="00DA4631">
      <w:pPr>
        <w:pStyle w:val="a5"/>
        <w:adjustRightInd w:val="0"/>
        <w:snapToGrid w:val="0"/>
        <w:spacing w:before="0" w:beforeAutospacing="0" w:after="0" w:afterAutospacing="0" w:line="480" w:lineRule="auto"/>
        <w:ind w:firstLineChars="200" w:firstLine="480"/>
        <w:jc w:val="both"/>
        <w:rPr>
          <w:rFonts w:ascii="Times New Roman" w:hAnsi="Times New Roman" w:cs="Times New Roman"/>
          <w:color w:val="000000" w:themeColor="text1"/>
        </w:rPr>
      </w:pPr>
      <w:r w:rsidRPr="00877C4B">
        <w:rPr>
          <w:rFonts w:ascii="Times New Roman" w:hAnsi="Times New Roman" w:cs="Times New Roman"/>
          <w:color w:val="000000" w:themeColor="text1"/>
        </w:rPr>
        <w:t>First, government social media could make effective use of the new media arena to guide the public with 'constructive' health narratives.</w:t>
      </w:r>
    </w:p>
    <w:p w14:paraId="479C3ECB" w14:textId="77777777" w:rsidR="00274063" w:rsidRPr="00877C4B" w:rsidRDefault="007D4ACE" w:rsidP="00DA4631">
      <w:pPr>
        <w:pStyle w:val="a5"/>
        <w:adjustRightInd w:val="0"/>
        <w:snapToGrid w:val="0"/>
        <w:spacing w:before="0" w:beforeAutospacing="0" w:after="0" w:afterAutospacing="0" w:line="480" w:lineRule="auto"/>
        <w:ind w:firstLineChars="200" w:firstLine="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Local governments should accelerate their adaptation to the changes in the media ecosystem and clarify erroneous health concepts for the public in a timely manner. </w:t>
      </w:r>
      <w:r w:rsidRPr="00877C4B">
        <w:rPr>
          <w:rFonts w:ascii="Times New Roman" w:hAnsi="Times New Roman" w:cs="Times New Roman"/>
          <w:color w:val="000000" w:themeColor="text1"/>
        </w:rPr>
        <w:lastRenderedPageBreak/>
        <w:t>Local government social media should avoid publishing inappropriate "clickbait-style," "vulgar" information in an attempt to gain attention or save time, as this may worsen the health communication situation. Simply pursuing “entertainment” weakens the authority and reliability of solutions and lacks true constructive value. In fact, the elements of constructive journalism can provide both a conceptual and practical guide for health communication by integrating authoritative knowledge with communication skills, forming a knowledge chain with constructive power, and transforming health knowledge into actionable and feasible strategies. Depth integration of content and coordinated messaging can form a “combination punch” for health communication.</w:t>
      </w:r>
      <w:r w:rsidRPr="00877C4B">
        <w:rPr>
          <w:rFonts w:ascii="Times New Roman" w:hAnsi="Times New Roman" w:cs="Times New Roman"/>
          <w:color w:val="000000" w:themeColor="text1"/>
        </w:rPr>
        <w:br/>
        <w:t xml:space="preserve">    The short videos produced by the Shenzhen Health Commission reflect the deep integration and coordination of knowledge cues, belief cues, and action cues. Knowledge cues provide a solid foundation for health information, belief cues establish a scientifically sound health concept, and action cues encourage the audience to transform the knowledge they learn into behavior. The collaboration of these three elements enhances the authority and appeal of the content, guiding the audience from passive information reception to active participation and behavioral change. By continuously reinforcing the integration of this narrative strategy, government health videos can more effectively influence public health behaviors and improve health literacy across society.</w:t>
      </w:r>
    </w:p>
    <w:p w14:paraId="5021BD0C" w14:textId="77777777" w:rsidR="00274063" w:rsidRPr="00877C4B" w:rsidRDefault="007D4ACE" w:rsidP="00DA4631">
      <w:pPr>
        <w:adjustRightInd w:val="0"/>
        <w:snapToGrid w:val="0"/>
        <w:spacing w:line="480" w:lineRule="auto"/>
        <w:ind w:firstLineChars="200" w:firstLine="480"/>
        <w:jc w:val="both"/>
        <w:rPr>
          <w:rFonts w:ascii="Times New Roman" w:hAnsi="Times New Roman" w:cs="Times New Roman"/>
          <w:color w:val="000000" w:themeColor="text1"/>
        </w:rPr>
      </w:pPr>
      <w:r w:rsidRPr="00877C4B">
        <w:rPr>
          <w:rFonts w:ascii="Times New Roman" w:hAnsi="Times New Roman" w:cs="Times New Roman"/>
          <w:color w:val="000000" w:themeColor="text1"/>
        </w:rPr>
        <w:t>Second, government social media should focus on empathetic narratives to enhance the integration of 'emotion and reason' in government communication effectiveness.</w:t>
      </w:r>
    </w:p>
    <w:p w14:paraId="395E6441" w14:textId="77777777" w:rsidR="00274063" w:rsidRPr="00877C4B" w:rsidRDefault="007D4ACE" w:rsidP="00DA4631">
      <w:pPr>
        <w:adjustRightInd w:val="0"/>
        <w:snapToGrid w:val="0"/>
        <w:spacing w:line="480" w:lineRule="auto"/>
        <w:ind w:firstLineChars="200" w:firstLine="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The analysis of the new media communication practices of the Shenzhen Health Commission shows that empathetic communication is an important tool for improving the effectiveness of government communication. In addition to releasing policy information and service updates, government social media needs to consider how to </w:t>
      </w:r>
      <w:r w:rsidRPr="00877C4B">
        <w:rPr>
          <w:rFonts w:ascii="Times New Roman" w:hAnsi="Times New Roman" w:cs="Times New Roman"/>
          <w:color w:val="000000" w:themeColor="text1"/>
        </w:rPr>
        <w:lastRenderedPageBreak/>
        <w:t>achieve the tangible presentation of information, emotional resonance, and a deep combination of public recognition through content production and dissemination. To enhance the narrative transmission effectiveness of the Shenzhen Health Commission’s new media platform, innovation in narrative approaches at the sensory and perceptual levels is required. Innovation and optimization of narrative forms involve the integration of multiple perspectives, styles, and media. Government social media platforms are promoting a narrative transformation in health communication by integrating various perspectives, styles, and media forms. Moreover, different narrative styles such as humor, seriousness, and warmth cater to the preferences of different audiences, enhancing the attractiveness and effectiveness of health information.</w:t>
      </w:r>
      <w:r w:rsidRPr="00877C4B">
        <w:rPr>
          <w:rFonts w:ascii="Times New Roman" w:hAnsi="Times New Roman" w:cs="Times New Roman"/>
          <w:color w:val="000000" w:themeColor="text1"/>
        </w:rPr>
        <w:br/>
        <w:t xml:space="preserve">    Technological empowerment has strengthened the use of audiovisual language in health communication. Government social media must use modern technologies and audiovisual language to improve the audience’s experience. It is worth trying to provide an immersive interactive experience and vivid scene perception for users through converged media technologies. Several excellent cases have shown that integrating various media forms into health communication can greatly enhance the attractiveness and effectiveness of government messages. For example, using animation technology, vivid storytelling, and new technologies like virtual reality (VR) in science popularization videos can make complex health concepts and scientific knowledge more intuitive and relatable, helping the audience understand and accept them more easily. Utilizing visual charts, animations, and real-time data can transform complex health topics into easy-to-understand and captivating content.</w:t>
      </w:r>
    </w:p>
    <w:p w14:paraId="7538E4DB" w14:textId="77777777" w:rsidR="00274063" w:rsidRPr="00877C4B" w:rsidRDefault="007D4ACE" w:rsidP="00DA4631">
      <w:pPr>
        <w:adjustRightInd w:val="0"/>
        <w:snapToGrid w:val="0"/>
        <w:spacing w:line="480" w:lineRule="auto"/>
        <w:ind w:firstLineChars="200" w:firstLine="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Third, foster multi-stakeholder collaboration to build a health communication ecosystem and establish mechanisms for interconnected and coordinated dissemination. </w:t>
      </w:r>
      <w:r w:rsidRPr="00877C4B">
        <w:rPr>
          <w:rFonts w:ascii="Times New Roman" w:hAnsi="Times New Roman" w:cs="Times New Roman"/>
          <w:color w:val="000000" w:themeColor="text1"/>
        </w:rPr>
        <w:br/>
        <w:t xml:space="preserve">    As an official media platform, the Shenzhen Health Commission should fully leverage its authority while promoting cooperation with experts, healthcare workers, </w:t>
      </w:r>
      <w:r w:rsidRPr="00877C4B">
        <w:rPr>
          <w:rFonts w:ascii="Times New Roman" w:hAnsi="Times New Roman" w:cs="Times New Roman"/>
          <w:color w:val="000000" w:themeColor="text1"/>
        </w:rPr>
        <w:lastRenderedPageBreak/>
        <w:t>and media professionals to facilitate the deep dissemination of health knowledge. The scientific and professional nature of health information creates a natural cognitive gap between the public and content production, so through the “expert-media-public” collaboration, complex health knowledge can be transformed into more comprehensive and accessible communication content. For instance, collaborating with medical experts to produce scientific short videos, inviting frontline healthcare workers to share real-life stories, or working with mainstream media to carry out health-themed reports can enrich the perspectives and content of health communication. By further clarifying the entry points for different communication topics in collaborative innovation, health knowledge and policy information can be presented in a manner that is both scientific and storytelling. From sensory pleasure to emotional resonance, and then to a rational understanding of the logic behind policies, the process can be seamlessly integrated.</w:t>
      </w:r>
      <w:r w:rsidRPr="00877C4B">
        <w:rPr>
          <w:rFonts w:ascii="Times New Roman" w:hAnsi="Times New Roman" w:cs="Times New Roman"/>
          <w:color w:val="000000" w:themeColor="text1"/>
        </w:rPr>
        <w:br/>
        <w:t xml:space="preserve">    Government social media should work to break down “siloed” communication structures and establish a multi-party cooperation and connection ecosystem centered around health communication. Learning from the Shenzhen Health Commission’s approach, which uses multi-party dialogue and cooperation to expand the breadth and depth of health information communication, government social media platforms can contribute to building a health communication ecosystem that is co-constructed and shared by society. This provides more channels for the public to access health knowledge and explores a sustainable and innovative path for health communication on government social media.</w:t>
      </w:r>
    </w:p>
    <w:p w14:paraId="22B09E32" w14:textId="77777777" w:rsidR="00274063" w:rsidRPr="00877C4B" w:rsidRDefault="007D4ACE" w:rsidP="00DA4631">
      <w:pPr>
        <w:pStyle w:val="a5"/>
        <w:adjustRightInd w:val="0"/>
        <w:snapToGrid w:val="0"/>
        <w:spacing w:before="0" w:beforeAutospacing="0" w:after="0" w:afterAutospacing="0" w:line="480" w:lineRule="auto"/>
        <w:jc w:val="both"/>
        <w:rPr>
          <w:rFonts w:ascii="Times New Roman" w:hAnsi="Times New Roman" w:cs="Times New Roman"/>
          <w:b/>
          <w:color w:val="000000" w:themeColor="text1"/>
        </w:rPr>
      </w:pPr>
      <w:r w:rsidRPr="00877C4B">
        <w:rPr>
          <w:rFonts w:ascii="Times New Roman" w:hAnsi="Times New Roman" w:cs="Times New Roman"/>
          <w:b/>
          <w:bCs/>
          <w:color w:val="000000" w:themeColor="text1"/>
        </w:rPr>
        <w:t>5.2 Limitations and Future Research</w:t>
      </w:r>
    </w:p>
    <w:p w14:paraId="6CB1A8B9" w14:textId="77777777" w:rsidR="00274063" w:rsidRPr="00877C4B" w:rsidRDefault="007D4ACE" w:rsidP="00DA4631">
      <w:pPr>
        <w:pStyle w:val="a5"/>
        <w:adjustRightInd w:val="0"/>
        <w:snapToGrid w:val="0"/>
        <w:spacing w:before="0" w:beforeAutospacing="0" w:after="0" w:afterAutospacing="0" w:line="480" w:lineRule="auto"/>
        <w:jc w:val="both"/>
        <w:rPr>
          <w:rFonts w:ascii="Times New Roman" w:hAnsi="Times New Roman" w:cs="Times New Roman"/>
          <w:color w:val="000000" w:themeColor="text1"/>
        </w:rPr>
      </w:pPr>
      <w:r w:rsidRPr="00877C4B">
        <w:rPr>
          <w:rFonts w:ascii="Times New Roman" w:hAnsi="Times New Roman" w:cs="Times New Roman"/>
          <w:color w:val="000000" w:themeColor="text1"/>
        </w:rPr>
        <w:t>This study still has some limitations:</w:t>
      </w:r>
    </w:p>
    <w:p w14:paraId="76A2A2C3" w14:textId="77777777" w:rsidR="00274063" w:rsidRPr="00877C4B" w:rsidRDefault="007D4ACE" w:rsidP="00DA4631">
      <w:pPr>
        <w:pStyle w:val="a5"/>
        <w:adjustRightInd w:val="0"/>
        <w:snapToGrid w:val="0"/>
        <w:spacing w:before="0" w:beforeAutospacing="0" w:after="0" w:afterAutospacing="0" w:line="480" w:lineRule="auto"/>
        <w:ind w:firstLineChars="200" w:firstLine="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First, the applicability of the research results is somewhat limited. The findings are often specific due to the choice of research sample and may only be applicable under certain conditions, making it difficult to generalize. This study takes the “Shenzhen </w:t>
      </w:r>
      <w:r w:rsidRPr="00877C4B">
        <w:rPr>
          <w:rFonts w:ascii="Times New Roman" w:hAnsi="Times New Roman" w:cs="Times New Roman"/>
          <w:color w:val="000000" w:themeColor="text1"/>
        </w:rPr>
        <w:lastRenderedPageBreak/>
        <w:t>Health Commission” Douyin account as an example. As a local government social media platform, its information editing and dissemination capabilities and platform influence are relatively limited. Therefore, the conclusions of this study cannot be directly applied to other local or national platforms. Future studies could explore the information dissemination effects on platforms at different levels and from different regions.</w:t>
      </w:r>
      <w:r w:rsidRPr="00877C4B">
        <w:rPr>
          <w:rFonts w:ascii="Times New Roman" w:hAnsi="Times New Roman" w:cs="Times New Roman"/>
          <w:color w:val="000000" w:themeColor="text1"/>
        </w:rPr>
        <w:br/>
        <w:t xml:space="preserve">    Second, the use of </w:t>
      </w:r>
      <w:r w:rsidRPr="00877C4B">
        <w:rPr>
          <w:rFonts w:ascii="Times New Roman" w:hAnsi="Times New Roman" w:cs="Times New Roman" w:hint="eastAsia"/>
          <w:color w:val="000000" w:themeColor="text1"/>
        </w:rPr>
        <w:t>c</w:t>
      </w:r>
      <w:r w:rsidRPr="00877C4B">
        <w:rPr>
          <w:rFonts w:ascii="Times New Roman" w:hAnsi="Times New Roman" w:cs="Times New Roman"/>
          <w:color w:val="000000" w:themeColor="text1"/>
        </w:rPr>
        <w:t>risp-set Qualitative Comparative Analysis (cs-QCA) is limited by sample size, scope, and research capacity. This study only selects and examines one media platform, Douyin, so the findings cannot be simply extended to other media domains. Their applicability still needs to be further verified in subsequent research.</w:t>
      </w:r>
      <w:r w:rsidRPr="00877C4B">
        <w:rPr>
          <w:rFonts w:ascii="Times New Roman" w:hAnsi="Times New Roman" w:cs="Times New Roman"/>
          <w:color w:val="000000" w:themeColor="text1"/>
        </w:rPr>
        <w:br/>
        <w:t xml:space="preserve">    Third, although quantitative indicators such as the number of likes, shares, and comments have become representative standards for assessing communication effectiveness, some studies suggest that more appropriate metrics beyond simple likes should be considered for practical purposes. For instance, the multi-dimensional nature of communication effects, including emotional, cognitive, and behavioral dimensions, broadens the scope of social media communication research.</w:t>
      </w:r>
    </w:p>
    <w:p w14:paraId="584AFFDC" w14:textId="77777777" w:rsidR="00274063" w:rsidRPr="00877C4B" w:rsidRDefault="00274063" w:rsidP="00DA4631">
      <w:pPr>
        <w:adjustRightInd w:val="0"/>
        <w:snapToGrid w:val="0"/>
        <w:spacing w:line="480" w:lineRule="auto"/>
        <w:ind w:firstLineChars="200" w:firstLine="480"/>
        <w:jc w:val="both"/>
        <w:rPr>
          <w:rFonts w:ascii="Times New Roman" w:hAnsi="Times New Roman" w:cs="Times New Roman"/>
          <w:color w:val="000000" w:themeColor="text1"/>
        </w:rPr>
      </w:pPr>
    </w:p>
    <w:p w14:paraId="50467FDA" w14:textId="77777777" w:rsidR="00274063" w:rsidRPr="00877C4B" w:rsidRDefault="00274063" w:rsidP="00DA4631">
      <w:pPr>
        <w:adjustRightInd w:val="0"/>
        <w:snapToGrid w:val="0"/>
        <w:spacing w:line="480" w:lineRule="auto"/>
        <w:jc w:val="both"/>
        <w:rPr>
          <w:rFonts w:ascii="Times New Roman" w:hAnsi="Times New Roman" w:cs="Times New Roman"/>
          <w:color w:val="000000" w:themeColor="text1"/>
        </w:rPr>
      </w:pPr>
    </w:p>
    <w:p w14:paraId="3BA39B5F" w14:textId="77777777" w:rsidR="00274063" w:rsidRPr="00877C4B" w:rsidRDefault="007D4ACE" w:rsidP="00E0303A">
      <w:pPr>
        <w:adjustRightInd w:val="0"/>
        <w:snapToGrid w:val="0"/>
        <w:spacing w:line="480" w:lineRule="auto"/>
        <w:jc w:val="both"/>
        <w:rPr>
          <w:rFonts w:ascii="Times New Roman" w:hAnsi="Times New Roman" w:cs="Times New Roman"/>
          <w:b/>
          <w:color w:val="000000" w:themeColor="text1"/>
        </w:rPr>
      </w:pPr>
      <w:r w:rsidRPr="00877C4B">
        <w:rPr>
          <w:rFonts w:ascii="Times New Roman" w:hAnsi="Times New Roman" w:cs="Times New Roman"/>
          <w:b/>
          <w:color w:val="000000" w:themeColor="text1"/>
        </w:rPr>
        <w:t>Reference</w:t>
      </w:r>
      <w:r w:rsidR="003B3171">
        <w:rPr>
          <w:rFonts w:ascii="Times New Roman" w:hAnsi="Times New Roman" w:cs="Times New Roman"/>
          <w:b/>
          <w:color w:val="000000" w:themeColor="text1"/>
        </w:rPr>
        <w:t>s</w:t>
      </w:r>
    </w:p>
    <w:p w14:paraId="0E8C68CD" w14:textId="77777777" w:rsidR="00274063" w:rsidRPr="00877C4B" w:rsidRDefault="007D4ACE" w:rsidP="00E0303A">
      <w:pPr>
        <w:pStyle w:val="31"/>
        <w:adjustRightInd w:val="0"/>
        <w:snapToGrid w:val="0"/>
        <w:spacing w:line="480" w:lineRule="auto"/>
        <w:ind w:left="480" w:hangingChars="200" w:hanging="480"/>
        <w:jc w:val="both"/>
        <w:rPr>
          <w:rFonts w:ascii="Times New Roman" w:hAnsi="Times New Roman" w:cs="Times New Roman"/>
          <w:color w:val="000000" w:themeColor="text1"/>
        </w:rPr>
      </w:pPr>
      <w:r w:rsidRPr="00877C4B">
        <w:rPr>
          <w:rFonts w:ascii="Times New Roman" w:hAnsi="Times New Roman"/>
          <w:color w:val="000000" w:themeColor="text1"/>
        </w:rPr>
        <w:fldChar w:fldCharType="begin"/>
      </w:r>
      <w:r w:rsidRPr="00877C4B">
        <w:rPr>
          <w:rFonts w:ascii="Times New Roman" w:hAnsi="Times New Roman"/>
          <w:color w:val="000000" w:themeColor="text1"/>
        </w:rPr>
        <w:instrText xml:space="preserve"> ADDIN ZOTERO_BIBL {"uncited":[],"omitted":[],"custom":[]} CSL_BIBLIOGRAPHY </w:instrText>
      </w:r>
      <w:r w:rsidRPr="00877C4B">
        <w:rPr>
          <w:rFonts w:ascii="Times New Roman" w:hAnsi="Times New Roman"/>
          <w:color w:val="000000" w:themeColor="text1"/>
        </w:rPr>
        <w:fldChar w:fldCharType="separate"/>
      </w:r>
      <w:r w:rsidRPr="00877C4B">
        <w:rPr>
          <w:rFonts w:ascii="Times New Roman" w:hAnsi="Times New Roman" w:cs="Times New Roman"/>
          <w:color w:val="000000" w:themeColor="text1"/>
        </w:rPr>
        <w:t xml:space="preserve">Branch, Jr, W. T. (2001). Teaching the Human Dimensions of Care in Clinical Settings. </w:t>
      </w:r>
      <w:r w:rsidRPr="00877C4B">
        <w:rPr>
          <w:rFonts w:ascii="Times New Roman" w:hAnsi="Times New Roman" w:cs="Times New Roman"/>
          <w:i/>
          <w:iCs/>
          <w:color w:val="000000" w:themeColor="text1"/>
        </w:rPr>
        <w:t>JAMA</w:t>
      </w:r>
      <w:r w:rsidRPr="00877C4B">
        <w:rPr>
          <w:rFonts w:ascii="Times New Roman" w:hAnsi="Times New Roman" w:cs="Times New Roman"/>
          <w:color w:val="000000" w:themeColor="text1"/>
        </w:rPr>
        <w:t xml:space="preserve">, </w:t>
      </w:r>
      <w:r w:rsidRPr="00877C4B">
        <w:rPr>
          <w:rFonts w:ascii="Times New Roman" w:hAnsi="Times New Roman" w:cs="Times New Roman"/>
          <w:i/>
          <w:iCs/>
          <w:color w:val="000000" w:themeColor="text1"/>
        </w:rPr>
        <w:t>286</w:t>
      </w:r>
      <w:r w:rsidRPr="00877C4B">
        <w:rPr>
          <w:rFonts w:ascii="Times New Roman" w:hAnsi="Times New Roman" w:cs="Times New Roman"/>
          <w:color w:val="000000" w:themeColor="text1"/>
        </w:rPr>
        <w:t>(9), 1067. https://doi.org/10.1001/jama.286.9.1067</w:t>
      </w:r>
    </w:p>
    <w:p w14:paraId="3B9D396B" w14:textId="77777777" w:rsidR="00274063" w:rsidRPr="00877C4B" w:rsidRDefault="007D4ACE" w:rsidP="00E0303A">
      <w:pPr>
        <w:pStyle w:val="31"/>
        <w:adjustRightInd w:val="0"/>
        <w:snapToGrid w:val="0"/>
        <w:spacing w:line="480" w:lineRule="auto"/>
        <w:ind w:left="480" w:hangingChars="200" w:hanging="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Chang, C. (2008). Increasing Mental Health Literacy via Narrative Advertising. </w:t>
      </w:r>
      <w:r w:rsidRPr="00877C4B">
        <w:rPr>
          <w:rFonts w:ascii="Times New Roman" w:hAnsi="Times New Roman" w:cs="Times New Roman"/>
          <w:i/>
          <w:iCs/>
          <w:color w:val="000000" w:themeColor="text1"/>
        </w:rPr>
        <w:t>Journal of Health Communication</w:t>
      </w:r>
      <w:r w:rsidRPr="00877C4B">
        <w:rPr>
          <w:rFonts w:ascii="Times New Roman" w:hAnsi="Times New Roman" w:cs="Times New Roman"/>
          <w:color w:val="000000" w:themeColor="text1"/>
        </w:rPr>
        <w:t xml:space="preserve">, </w:t>
      </w:r>
      <w:r w:rsidRPr="00877C4B">
        <w:rPr>
          <w:rFonts w:ascii="Times New Roman" w:hAnsi="Times New Roman" w:cs="Times New Roman"/>
          <w:i/>
          <w:iCs/>
          <w:color w:val="000000" w:themeColor="text1"/>
        </w:rPr>
        <w:t>13</w:t>
      </w:r>
      <w:r w:rsidRPr="00877C4B">
        <w:rPr>
          <w:rFonts w:ascii="Times New Roman" w:hAnsi="Times New Roman" w:cs="Times New Roman"/>
          <w:color w:val="000000" w:themeColor="text1"/>
        </w:rPr>
        <w:t>(1), 37–55. https://doi.org/10.1080/10810730701807027</w:t>
      </w:r>
    </w:p>
    <w:p w14:paraId="19B09983" w14:textId="77777777" w:rsidR="00274063" w:rsidRPr="00877C4B" w:rsidRDefault="007D4ACE" w:rsidP="00E0303A">
      <w:pPr>
        <w:pStyle w:val="31"/>
        <w:adjustRightInd w:val="0"/>
        <w:snapToGrid w:val="0"/>
        <w:spacing w:line="480" w:lineRule="auto"/>
        <w:ind w:left="480" w:hangingChars="200" w:hanging="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Chen, Q., Min, C., Zhang, W., Wang, G., Ma, X., &amp; Evans, R. (2020). Unpacking the black box: How to promote citizen engagement through government social media </w:t>
      </w:r>
      <w:r w:rsidRPr="00877C4B">
        <w:rPr>
          <w:rFonts w:ascii="Times New Roman" w:hAnsi="Times New Roman" w:cs="Times New Roman"/>
          <w:color w:val="000000" w:themeColor="text1"/>
        </w:rPr>
        <w:lastRenderedPageBreak/>
        <w:t xml:space="preserve">during the COVID-19 crisis. </w:t>
      </w:r>
      <w:r w:rsidRPr="00877C4B">
        <w:rPr>
          <w:rFonts w:ascii="Times New Roman" w:hAnsi="Times New Roman" w:cs="Times New Roman"/>
          <w:i/>
          <w:iCs/>
          <w:color w:val="000000" w:themeColor="text1"/>
        </w:rPr>
        <w:t>Computers in Human Behavior</w:t>
      </w:r>
      <w:r w:rsidRPr="00877C4B">
        <w:rPr>
          <w:rFonts w:ascii="Times New Roman" w:hAnsi="Times New Roman" w:cs="Times New Roman"/>
          <w:color w:val="000000" w:themeColor="text1"/>
        </w:rPr>
        <w:t xml:space="preserve">, </w:t>
      </w:r>
      <w:r w:rsidRPr="00877C4B">
        <w:rPr>
          <w:rFonts w:ascii="Times New Roman" w:hAnsi="Times New Roman" w:cs="Times New Roman"/>
          <w:i/>
          <w:iCs/>
          <w:color w:val="000000" w:themeColor="text1"/>
        </w:rPr>
        <w:t>110</w:t>
      </w:r>
      <w:r w:rsidRPr="00877C4B">
        <w:rPr>
          <w:rFonts w:ascii="Times New Roman" w:hAnsi="Times New Roman" w:cs="Times New Roman"/>
          <w:color w:val="000000" w:themeColor="text1"/>
        </w:rPr>
        <w:t>, 106380. https://doi.org/10.1016/j.chb.2020.106380</w:t>
      </w:r>
    </w:p>
    <w:p w14:paraId="26FDEFB0" w14:textId="77777777" w:rsidR="00274063" w:rsidRPr="00877C4B" w:rsidRDefault="007D4ACE" w:rsidP="00E0303A">
      <w:pPr>
        <w:pStyle w:val="31"/>
        <w:adjustRightInd w:val="0"/>
        <w:snapToGrid w:val="0"/>
        <w:spacing w:line="480" w:lineRule="auto"/>
        <w:ind w:left="480" w:hangingChars="200" w:hanging="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Christy, K. R. (2018). I, You, or He: Examining the Impact of Point of View on Narrative Persuasion. </w:t>
      </w:r>
      <w:r w:rsidRPr="00877C4B">
        <w:rPr>
          <w:rFonts w:ascii="Times New Roman" w:hAnsi="Times New Roman" w:cs="Times New Roman"/>
          <w:i/>
          <w:iCs/>
          <w:color w:val="000000" w:themeColor="text1"/>
        </w:rPr>
        <w:t>Media Psychology</w:t>
      </w:r>
      <w:r w:rsidRPr="00877C4B">
        <w:rPr>
          <w:rFonts w:ascii="Times New Roman" w:hAnsi="Times New Roman" w:cs="Times New Roman"/>
          <w:color w:val="000000" w:themeColor="text1"/>
        </w:rPr>
        <w:t xml:space="preserve">, </w:t>
      </w:r>
      <w:r w:rsidRPr="00877C4B">
        <w:rPr>
          <w:rFonts w:ascii="Times New Roman" w:hAnsi="Times New Roman" w:cs="Times New Roman"/>
          <w:i/>
          <w:iCs/>
          <w:color w:val="000000" w:themeColor="text1"/>
        </w:rPr>
        <w:t>21</w:t>
      </w:r>
      <w:r w:rsidRPr="00877C4B">
        <w:rPr>
          <w:rFonts w:ascii="Times New Roman" w:hAnsi="Times New Roman" w:cs="Times New Roman"/>
          <w:color w:val="000000" w:themeColor="text1"/>
        </w:rPr>
        <w:t>(4), 700–718. https://doi.org/10.1080/15213269.2017.1400443</w:t>
      </w:r>
    </w:p>
    <w:p w14:paraId="76E0F625" w14:textId="77777777" w:rsidR="00274063" w:rsidRPr="00877C4B" w:rsidRDefault="007D4ACE" w:rsidP="00E0303A">
      <w:pPr>
        <w:pStyle w:val="31"/>
        <w:adjustRightInd w:val="0"/>
        <w:snapToGrid w:val="0"/>
        <w:spacing w:line="480" w:lineRule="auto"/>
        <w:ind w:left="480" w:hangingChars="200" w:hanging="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De Graaf, A., Sanders, J., &amp; Hoeken, H. (2016). Characteristics of narrative interventions and health effects: A review of the content, form, and context of narratives in health-related narrative persuasion research. </w:t>
      </w:r>
      <w:r w:rsidRPr="00877C4B">
        <w:rPr>
          <w:rFonts w:ascii="Times New Roman" w:hAnsi="Times New Roman" w:cs="Times New Roman"/>
          <w:i/>
          <w:iCs/>
          <w:color w:val="000000" w:themeColor="text1"/>
        </w:rPr>
        <w:t>Review of Communication Research</w:t>
      </w:r>
      <w:r w:rsidRPr="00877C4B">
        <w:rPr>
          <w:rFonts w:ascii="Times New Roman" w:hAnsi="Times New Roman" w:cs="Times New Roman"/>
          <w:color w:val="000000" w:themeColor="text1"/>
        </w:rPr>
        <w:t xml:space="preserve">, </w:t>
      </w:r>
      <w:r w:rsidRPr="00877C4B">
        <w:rPr>
          <w:rFonts w:ascii="Times New Roman" w:hAnsi="Times New Roman" w:cs="Times New Roman"/>
          <w:i/>
          <w:iCs/>
          <w:color w:val="000000" w:themeColor="text1"/>
        </w:rPr>
        <w:t>4</w:t>
      </w:r>
      <w:r w:rsidRPr="00877C4B">
        <w:rPr>
          <w:rFonts w:ascii="Times New Roman" w:hAnsi="Times New Roman" w:cs="Times New Roman"/>
          <w:color w:val="000000" w:themeColor="text1"/>
        </w:rPr>
        <w:t>, 88–131. https://doi.org/10.12840/issn.2255-4165.2016.04.01.011</w:t>
      </w:r>
    </w:p>
    <w:p w14:paraId="2F4FE706" w14:textId="77777777" w:rsidR="00274063" w:rsidRPr="00877C4B" w:rsidRDefault="007D4ACE" w:rsidP="00E0303A">
      <w:pPr>
        <w:pStyle w:val="31"/>
        <w:adjustRightInd w:val="0"/>
        <w:snapToGrid w:val="0"/>
        <w:spacing w:line="480" w:lineRule="auto"/>
        <w:ind w:left="480" w:hangingChars="200" w:hanging="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Jiang, S., Tay, J., Ngien, A., &amp; Basnyat, I. (2024). Social Media Health Promotion and Audience Engagement: The Roles of Information Dissemination, Organization-Audience Interaction, and Action Confidence Building. </w:t>
      </w:r>
      <w:r w:rsidRPr="00877C4B">
        <w:rPr>
          <w:rFonts w:ascii="Times New Roman" w:hAnsi="Times New Roman" w:cs="Times New Roman"/>
          <w:i/>
          <w:iCs/>
          <w:color w:val="000000" w:themeColor="text1"/>
        </w:rPr>
        <w:t>Health Communication</w:t>
      </w:r>
      <w:r w:rsidRPr="00877C4B">
        <w:rPr>
          <w:rFonts w:ascii="Times New Roman" w:hAnsi="Times New Roman" w:cs="Times New Roman"/>
          <w:color w:val="000000" w:themeColor="text1"/>
        </w:rPr>
        <w:t xml:space="preserve">, </w:t>
      </w:r>
      <w:r w:rsidRPr="00877C4B">
        <w:rPr>
          <w:rFonts w:ascii="Times New Roman" w:hAnsi="Times New Roman" w:cs="Times New Roman"/>
          <w:i/>
          <w:iCs/>
          <w:color w:val="000000" w:themeColor="text1"/>
        </w:rPr>
        <w:t>39</w:t>
      </w:r>
      <w:r w:rsidRPr="00877C4B">
        <w:rPr>
          <w:rFonts w:ascii="Times New Roman" w:hAnsi="Times New Roman" w:cs="Times New Roman"/>
          <w:color w:val="000000" w:themeColor="text1"/>
        </w:rPr>
        <w:t>(1), 4–14. https://doi.org/10.1080/10410236.2022.2150809</w:t>
      </w:r>
    </w:p>
    <w:p w14:paraId="275E9524" w14:textId="77777777" w:rsidR="00274063" w:rsidRPr="00877C4B" w:rsidRDefault="007D4ACE" w:rsidP="00E0303A">
      <w:pPr>
        <w:pStyle w:val="31"/>
        <w:adjustRightInd w:val="0"/>
        <w:snapToGrid w:val="0"/>
        <w:spacing w:line="480" w:lineRule="auto"/>
        <w:ind w:left="480" w:hangingChars="200" w:hanging="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Klauk, T., Köppe, T., &amp; Onea, E. (2012). Internally focalized narration from a linguistic point of view. </w:t>
      </w:r>
      <w:r w:rsidRPr="00877C4B">
        <w:rPr>
          <w:rFonts w:ascii="Times New Roman" w:hAnsi="Times New Roman" w:cs="Times New Roman"/>
          <w:i/>
          <w:iCs/>
          <w:color w:val="000000" w:themeColor="text1"/>
        </w:rPr>
        <w:t>Scientific Study of Literature</w:t>
      </w:r>
      <w:r w:rsidRPr="00877C4B">
        <w:rPr>
          <w:rFonts w:ascii="Times New Roman" w:hAnsi="Times New Roman" w:cs="Times New Roman"/>
          <w:color w:val="000000" w:themeColor="text1"/>
        </w:rPr>
        <w:t xml:space="preserve">, </w:t>
      </w:r>
      <w:r w:rsidRPr="00877C4B">
        <w:rPr>
          <w:rFonts w:ascii="Times New Roman" w:hAnsi="Times New Roman" w:cs="Times New Roman"/>
          <w:i/>
          <w:iCs/>
          <w:color w:val="000000" w:themeColor="text1"/>
        </w:rPr>
        <w:t>2</w:t>
      </w:r>
      <w:r w:rsidRPr="00877C4B">
        <w:rPr>
          <w:rFonts w:ascii="Times New Roman" w:hAnsi="Times New Roman" w:cs="Times New Roman"/>
          <w:color w:val="000000" w:themeColor="text1"/>
        </w:rPr>
        <w:t>(2), 218–242. https://doi.org/10.1075/ssol.2.2.03kla</w:t>
      </w:r>
    </w:p>
    <w:p w14:paraId="728C5640" w14:textId="77777777" w:rsidR="00274063" w:rsidRPr="00877C4B" w:rsidRDefault="007D4ACE" w:rsidP="00E0303A">
      <w:pPr>
        <w:pStyle w:val="31"/>
        <w:adjustRightInd w:val="0"/>
        <w:snapToGrid w:val="0"/>
        <w:spacing w:line="480" w:lineRule="auto"/>
        <w:ind w:left="480" w:hangingChars="200" w:hanging="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Kreuter, M. W., Green, M. C., Cappella, J. N., Slater, M. D., Wise, M. E., Storey, D., Clark, E. M., O’Keefe, D. J., Erwin, D. O., Holmes, K., Hinyard, L. J., Houston, T., &amp; Woolley, S. (2007). Narrative communication in cancer prevention and control: A framework to guide research and application. </w:t>
      </w:r>
      <w:r w:rsidRPr="00877C4B">
        <w:rPr>
          <w:rFonts w:ascii="Times New Roman" w:hAnsi="Times New Roman" w:cs="Times New Roman"/>
          <w:i/>
          <w:iCs/>
          <w:color w:val="000000" w:themeColor="text1"/>
        </w:rPr>
        <w:t>Annals of Behavioral Medicine</w:t>
      </w:r>
      <w:r w:rsidRPr="00877C4B">
        <w:rPr>
          <w:rFonts w:ascii="Times New Roman" w:hAnsi="Times New Roman" w:cs="Times New Roman"/>
          <w:color w:val="000000" w:themeColor="text1"/>
        </w:rPr>
        <w:t xml:space="preserve">, </w:t>
      </w:r>
      <w:r w:rsidRPr="00877C4B">
        <w:rPr>
          <w:rFonts w:ascii="Times New Roman" w:hAnsi="Times New Roman" w:cs="Times New Roman"/>
          <w:i/>
          <w:iCs/>
          <w:color w:val="000000" w:themeColor="text1"/>
        </w:rPr>
        <w:t>33</w:t>
      </w:r>
      <w:r w:rsidRPr="00877C4B">
        <w:rPr>
          <w:rFonts w:ascii="Times New Roman" w:hAnsi="Times New Roman" w:cs="Times New Roman"/>
          <w:color w:val="000000" w:themeColor="text1"/>
        </w:rPr>
        <w:t>(3), 221–235. https://doi.org/10.1007/BF02879904</w:t>
      </w:r>
    </w:p>
    <w:p w14:paraId="0CD5BCBB" w14:textId="77777777" w:rsidR="00274063" w:rsidRPr="00877C4B" w:rsidRDefault="007D4ACE" w:rsidP="00E0303A">
      <w:pPr>
        <w:pStyle w:val="31"/>
        <w:adjustRightInd w:val="0"/>
        <w:snapToGrid w:val="0"/>
        <w:spacing w:line="480" w:lineRule="auto"/>
        <w:ind w:left="480" w:hangingChars="200" w:hanging="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Kumagai, A. K. (2008). A Conceptual Framework for the Use of Illness Narratives in Medical Education. </w:t>
      </w:r>
      <w:r w:rsidRPr="00877C4B">
        <w:rPr>
          <w:rFonts w:ascii="Times New Roman" w:hAnsi="Times New Roman" w:cs="Times New Roman"/>
          <w:i/>
          <w:iCs/>
          <w:color w:val="000000" w:themeColor="text1"/>
        </w:rPr>
        <w:t>Academic Medicine</w:t>
      </w:r>
      <w:r w:rsidRPr="00877C4B">
        <w:rPr>
          <w:rFonts w:ascii="Times New Roman" w:hAnsi="Times New Roman" w:cs="Times New Roman"/>
          <w:color w:val="000000" w:themeColor="text1"/>
        </w:rPr>
        <w:t xml:space="preserve">, </w:t>
      </w:r>
      <w:r w:rsidRPr="00877C4B">
        <w:rPr>
          <w:rFonts w:ascii="Times New Roman" w:hAnsi="Times New Roman" w:cs="Times New Roman"/>
          <w:i/>
          <w:iCs/>
          <w:color w:val="000000" w:themeColor="text1"/>
        </w:rPr>
        <w:t>83</w:t>
      </w:r>
      <w:r w:rsidRPr="00877C4B">
        <w:rPr>
          <w:rFonts w:ascii="Times New Roman" w:hAnsi="Times New Roman" w:cs="Times New Roman"/>
          <w:color w:val="000000" w:themeColor="text1"/>
        </w:rPr>
        <w:t>(7), 653–658. https://doi.org/10.1097/ACM.0b013e3181782e17</w:t>
      </w:r>
    </w:p>
    <w:p w14:paraId="7EB5FF90" w14:textId="77777777" w:rsidR="00274063" w:rsidRPr="00877C4B" w:rsidRDefault="007D4ACE" w:rsidP="00E0303A">
      <w:pPr>
        <w:pStyle w:val="31"/>
        <w:adjustRightInd w:val="0"/>
        <w:snapToGrid w:val="0"/>
        <w:spacing w:line="480" w:lineRule="auto"/>
        <w:ind w:left="480" w:hangingChars="200" w:hanging="480"/>
        <w:jc w:val="both"/>
        <w:rPr>
          <w:rFonts w:ascii="Times New Roman" w:hAnsi="Times New Roman" w:cs="Times New Roman"/>
          <w:color w:val="000000" w:themeColor="text1"/>
        </w:rPr>
      </w:pPr>
      <w:r w:rsidRPr="00877C4B">
        <w:rPr>
          <w:rFonts w:ascii="Times New Roman" w:hAnsi="Times New Roman" w:cs="Times New Roman"/>
          <w:color w:val="000000" w:themeColor="text1"/>
        </w:rPr>
        <w:lastRenderedPageBreak/>
        <w:t xml:space="preserve">Lewis, N., &amp; Sznitman, S. R. (2017). You Brought it on Yourself: The Joint Effects of Message Type, Stigma, and Responsibility Attribution on Attitudes Toward Medical Cannabis: Narratives and Medical Cannabis Policy. </w:t>
      </w:r>
      <w:r w:rsidRPr="00877C4B">
        <w:rPr>
          <w:rFonts w:ascii="Times New Roman" w:hAnsi="Times New Roman" w:cs="Times New Roman"/>
          <w:i/>
          <w:iCs/>
          <w:color w:val="000000" w:themeColor="text1"/>
        </w:rPr>
        <w:t>Journal of Communication</w:t>
      </w:r>
      <w:r w:rsidRPr="00877C4B">
        <w:rPr>
          <w:rFonts w:ascii="Times New Roman" w:hAnsi="Times New Roman" w:cs="Times New Roman"/>
          <w:color w:val="000000" w:themeColor="text1"/>
        </w:rPr>
        <w:t xml:space="preserve">, </w:t>
      </w:r>
      <w:r w:rsidRPr="00877C4B">
        <w:rPr>
          <w:rFonts w:ascii="Times New Roman" w:hAnsi="Times New Roman" w:cs="Times New Roman"/>
          <w:i/>
          <w:iCs/>
          <w:color w:val="000000" w:themeColor="text1"/>
        </w:rPr>
        <w:t>67</w:t>
      </w:r>
      <w:r w:rsidRPr="00877C4B">
        <w:rPr>
          <w:rFonts w:ascii="Times New Roman" w:hAnsi="Times New Roman" w:cs="Times New Roman"/>
          <w:color w:val="000000" w:themeColor="text1"/>
        </w:rPr>
        <w:t>(2), 181–202. https://doi.org/10.1111/jcom.12287</w:t>
      </w:r>
    </w:p>
    <w:p w14:paraId="271A28E8" w14:textId="77777777" w:rsidR="00274063" w:rsidRPr="00877C4B" w:rsidRDefault="007D4ACE" w:rsidP="00E0303A">
      <w:pPr>
        <w:pStyle w:val="31"/>
        <w:adjustRightInd w:val="0"/>
        <w:snapToGrid w:val="0"/>
        <w:spacing w:line="480" w:lineRule="auto"/>
        <w:ind w:left="480" w:hangingChars="200" w:hanging="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Ma, Z., &amp; Nan, X. (2018). Role of narratives in promoting mental illnesses acceptance. </w:t>
      </w:r>
      <w:r w:rsidRPr="00877C4B">
        <w:rPr>
          <w:rFonts w:ascii="Times New Roman" w:hAnsi="Times New Roman" w:cs="Times New Roman"/>
          <w:i/>
          <w:iCs/>
          <w:color w:val="000000" w:themeColor="text1"/>
        </w:rPr>
        <w:t>Atlantic Journal of Communication</w:t>
      </w:r>
      <w:r w:rsidRPr="00877C4B">
        <w:rPr>
          <w:rFonts w:ascii="Times New Roman" w:hAnsi="Times New Roman" w:cs="Times New Roman"/>
          <w:color w:val="000000" w:themeColor="text1"/>
        </w:rPr>
        <w:t xml:space="preserve">, </w:t>
      </w:r>
      <w:r w:rsidRPr="00877C4B">
        <w:rPr>
          <w:rFonts w:ascii="Times New Roman" w:hAnsi="Times New Roman" w:cs="Times New Roman"/>
          <w:i/>
          <w:iCs/>
          <w:color w:val="000000" w:themeColor="text1"/>
        </w:rPr>
        <w:t>26</w:t>
      </w:r>
      <w:r w:rsidRPr="00877C4B">
        <w:rPr>
          <w:rFonts w:ascii="Times New Roman" w:hAnsi="Times New Roman" w:cs="Times New Roman"/>
          <w:color w:val="000000" w:themeColor="text1"/>
        </w:rPr>
        <w:t>(3), 196–209. https://doi.org/10.1080/15456870.2018.1471925</w:t>
      </w:r>
    </w:p>
    <w:p w14:paraId="31A00DD8" w14:textId="77777777" w:rsidR="00274063" w:rsidRPr="00877C4B" w:rsidRDefault="007D4ACE" w:rsidP="00E0303A">
      <w:pPr>
        <w:pStyle w:val="31"/>
        <w:adjustRightInd w:val="0"/>
        <w:snapToGrid w:val="0"/>
        <w:spacing w:line="480" w:lineRule="auto"/>
        <w:ind w:left="480" w:hangingChars="200" w:hanging="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Nan, X., Dahlstrom, M. F., Richards, A., &amp; Rangarajan, S. (2015). Influence of Evidence Type and Narrative Type on HPV Risk Perception and Intention to Obtain the HPV Vaccine. </w:t>
      </w:r>
      <w:r w:rsidRPr="00877C4B">
        <w:rPr>
          <w:rFonts w:ascii="Times New Roman" w:hAnsi="Times New Roman" w:cs="Times New Roman"/>
          <w:i/>
          <w:iCs/>
          <w:color w:val="000000" w:themeColor="text1"/>
        </w:rPr>
        <w:t>Health Communication</w:t>
      </w:r>
      <w:r w:rsidRPr="00877C4B">
        <w:rPr>
          <w:rFonts w:ascii="Times New Roman" w:hAnsi="Times New Roman" w:cs="Times New Roman"/>
          <w:color w:val="000000" w:themeColor="text1"/>
        </w:rPr>
        <w:t xml:space="preserve">, </w:t>
      </w:r>
      <w:r w:rsidRPr="00877C4B">
        <w:rPr>
          <w:rFonts w:ascii="Times New Roman" w:hAnsi="Times New Roman" w:cs="Times New Roman"/>
          <w:i/>
          <w:iCs/>
          <w:color w:val="000000" w:themeColor="text1"/>
        </w:rPr>
        <w:t>30</w:t>
      </w:r>
      <w:r w:rsidRPr="00877C4B">
        <w:rPr>
          <w:rFonts w:ascii="Times New Roman" w:hAnsi="Times New Roman" w:cs="Times New Roman"/>
          <w:color w:val="000000" w:themeColor="text1"/>
        </w:rPr>
        <w:t>(3), 301–308. https://doi.org/10.1080/10410236.2014.888629</w:t>
      </w:r>
    </w:p>
    <w:p w14:paraId="643FEED5" w14:textId="77777777" w:rsidR="00274063" w:rsidRPr="00877C4B" w:rsidRDefault="007D4ACE" w:rsidP="00E0303A">
      <w:pPr>
        <w:pStyle w:val="31"/>
        <w:adjustRightInd w:val="0"/>
        <w:snapToGrid w:val="0"/>
        <w:spacing w:line="480" w:lineRule="auto"/>
        <w:ind w:left="480" w:hangingChars="200" w:hanging="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Otterbacher, J. (2009). “Helpfulness” in online communities: A measure of message quality. </w:t>
      </w:r>
      <w:r w:rsidRPr="00877C4B">
        <w:rPr>
          <w:rFonts w:ascii="Times New Roman" w:hAnsi="Times New Roman" w:cs="Times New Roman"/>
          <w:i/>
          <w:iCs/>
          <w:color w:val="000000" w:themeColor="text1"/>
        </w:rPr>
        <w:t>Proceedings of the SIGCHI Conference on Human Factors in Computing Systems</w:t>
      </w:r>
      <w:r w:rsidRPr="00877C4B">
        <w:rPr>
          <w:rFonts w:ascii="Times New Roman" w:hAnsi="Times New Roman" w:cs="Times New Roman"/>
          <w:color w:val="000000" w:themeColor="text1"/>
        </w:rPr>
        <w:t>, 955–964. https://doi.org/10.1145/1518701.1518848</w:t>
      </w:r>
    </w:p>
    <w:p w14:paraId="03BA59A5" w14:textId="77777777" w:rsidR="00274063" w:rsidRPr="00877C4B" w:rsidRDefault="007D4ACE" w:rsidP="00E0303A">
      <w:pPr>
        <w:pStyle w:val="31"/>
        <w:adjustRightInd w:val="0"/>
        <w:snapToGrid w:val="0"/>
        <w:spacing w:line="480" w:lineRule="auto"/>
        <w:ind w:left="480" w:hangingChars="200" w:hanging="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Paek, H.-J., Kim, K., &amp; Hove, T. (2010). Content analysis of antismoking videos on YouTube: Message sensation value, message appeals, and their relationships with viewer responses. </w:t>
      </w:r>
      <w:r w:rsidRPr="00877C4B">
        <w:rPr>
          <w:rFonts w:ascii="Times New Roman" w:hAnsi="Times New Roman" w:cs="Times New Roman"/>
          <w:i/>
          <w:iCs/>
          <w:color w:val="000000" w:themeColor="text1"/>
        </w:rPr>
        <w:t>Health Education Research</w:t>
      </w:r>
      <w:r w:rsidRPr="00877C4B">
        <w:rPr>
          <w:rFonts w:ascii="Times New Roman" w:hAnsi="Times New Roman" w:cs="Times New Roman"/>
          <w:color w:val="000000" w:themeColor="text1"/>
        </w:rPr>
        <w:t xml:space="preserve">, </w:t>
      </w:r>
      <w:r w:rsidRPr="00877C4B">
        <w:rPr>
          <w:rFonts w:ascii="Times New Roman" w:hAnsi="Times New Roman" w:cs="Times New Roman"/>
          <w:i/>
          <w:iCs/>
          <w:color w:val="000000" w:themeColor="text1"/>
        </w:rPr>
        <w:t>25</w:t>
      </w:r>
      <w:r w:rsidRPr="00877C4B">
        <w:rPr>
          <w:rFonts w:ascii="Times New Roman" w:hAnsi="Times New Roman" w:cs="Times New Roman"/>
          <w:color w:val="000000" w:themeColor="text1"/>
        </w:rPr>
        <w:t>(6), 1085–1099. https://doi.org/10.1093/her/cyq063</w:t>
      </w:r>
    </w:p>
    <w:p w14:paraId="1F0DB083" w14:textId="77777777" w:rsidR="00274063" w:rsidRPr="00877C4B" w:rsidRDefault="007D4ACE" w:rsidP="00E0303A">
      <w:pPr>
        <w:pStyle w:val="31"/>
        <w:adjustRightInd w:val="0"/>
        <w:snapToGrid w:val="0"/>
        <w:spacing w:line="480" w:lineRule="auto"/>
        <w:ind w:left="480" w:hangingChars="200" w:hanging="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Palmgreen, P., Donohew, L., Lorch, E. P., Rogus, M., Helm, D., &amp; Grant, N. (1991). Sensation Seeking, Message Sensation Value, and Drug Use as Mediators of PSA Effectiveness. </w:t>
      </w:r>
      <w:r w:rsidRPr="00877C4B">
        <w:rPr>
          <w:rFonts w:ascii="Times New Roman" w:hAnsi="Times New Roman" w:cs="Times New Roman"/>
          <w:i/>
          <w:iCs/>
          <w:color w:val="000000" w:themeColor="text1"/>
        </w:rPr>
        <w:t>Health Communication</w:t>
      </w:r>
      <w:r w:rsidRPr="00877C4B">
        <w:rPr>
          <w:rFonts w:ascii="Times New Roman" w:hAnsi="Times New Roman" w:cs="Times New Roman"/>
          <w:color w:val="000000" w:themeColor="text1"/>
        </w:rPr>
        <w:t xml:space="preserve">, </w:t>
      </w:r>
      <w:r w:rsidRPr="00877C4B">
        <w:rPr>
          <w:rFonts w:ascii="Times New Roman" w:hAnsi="Times New Roman" w:cs="Times New Roman"/>
          <w:i/>
          <w:iCs/>
          <w:color w:val="000000" w:themeColor="text1"/>
        </w:rPr>
        <w:t>3</w:t>
      </w:r>
      <w:r w:rsidRPr="00877C4B">
        <w:rPr>
          <w:rFonts w:ascii="Times New Roman" w:hAnsi="Times New Roman" w:cs="Times New Roman"/>
          <w:color w:val="000000" w:themeColor="text1"/>
        </w:rPr>
        <w:t>(4), 217–227. https://doi.org/10.1207/s15327027hc0304_4</w:t>
      </w:r>
    </w:p>
    <w:p w14:paraId="6B395373" w14:textId="77777777" w:rsidR="00274063" w:rsidRPr="00877C4B" w:rsidRDefault="007D4ACE" w:rsidP="00E0303A">
      <w:pPr>
        <w:pStyle w:val="31"/>
        <w:adjustRightInd w:val="0"/>
        <w:snapToGrid w:val="0"/>
        <w:spacing w:line="480" w:lineRule="auto"/>
        <w:ind w:left="480" w:hangingChars="200" w:hanging="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Ragin, C. C. (2014). </w:t>
      </w:r>
      <w:r w:rsidRPr="00877C4B">
        <w:rPr>
          <w:rFonts w:ascii="Times New Roman" w:hAnsi="Times New Roman" w:cs="Times New Roman"/>
          <w:i/>
          <w:iCs/>
          <w:color w:val="000000" w:themeColor="text1"/>
        </w:rPr>
        <w:t>The comparative method: Moving beyond qualitative and quantitative strategies</w:t>
      </w:r>
      <w:r w:rsidRPr="00877C4B">
        <w:rPr>
          <w:rFonts w:ascii="Times New Roman" w:hAnsi="Times New Roman" w:cs="Times New Roman"/>
          <w:color w:val="000000" w:themeColor="text1"/>
        </w:rPr>
        <w:t xml:space="preserve"> ([2nd ed.] with a new introduction). University of California press.</w:t>
      </w:r>
    </w:p>
    <w:p w14:paraId="11435605" w14:textId="77777777" w:rsidR="00274063" w:rsidRPr="00877C4B" w:rsidRDefault="007D4ACE" w:rsidP="00E0303A">
      <w:pPr>
        <w:pStyle w:val="31"/>
        <w:adjustRightInd w:val="0"/>
        <w:snapToGrid w:val="0"/>
        <w:spacing w:line="480" w:lineRule="auto"/>
        <w:ind w:left="480" w:hangingChars="200" w:hanging="480"/>
        <w:jc w:val="both"/>
        <w:rPr>
          <w:rFonts w:ascii="Times New Roman" w:hAnsi="Times New Roman" w:cs="Times New Roman"/>
          <w:color w:val="000000" w:themeColor="text1"/>
        </w:rPr>
      </w:pPr>
      <w:r w:rsidRPr="00877C4B">
        <w:rPr>
          <w:rFonts w:ascii="Times New Roman" w:hAnsi="Times New Roman" w:cs="Times New Roman"/>
          <w:color w:val="000000" w:themeColor="text1"/>
        </w:rPr>
        <w:lastRenderedPageBreak/>
        <w:t xml:space="preserve">Rodgers, S., &amp; Stemmle, J. (2020). Are “Well-Told” Stories of Cancer Worn Out? Insights on Persuasion Characteristics Used in Cancer Narrative PSAs. </w:t>
      </w:r>
      <w:r w:rsidRPr="00877C4B">
        <w:rPr>
          <w:rFonts w:ascii="Times New Roman" w:hAnsi="Times New Roman" w:cs="Times New Roman"/>
          <w:i/>
          <w:iCs/>
          <w:color w:val="000000" w:themeColor="text1"/>
        </w:rPr>
        <w:t>Journal of Current Issues &amp; Research in Advertising</w:t>
      </w:r>
      <w:r w:rsidRPr="00877C4B">
        <w:rPr>
          <w:rFonts w:ascii="Times New Roman" w:hAnsi="Times New Roman" w:cs="Times New Roman"/>
          <w:color w:val="000000" w:themeColor="text1"/>
        </w:rPr>
        <w:t xml:space="preserve">, </w:t>
      </w:r>
      <w:r w:rsidRPr="00877C4B">
        <w:rPr>
          <w:rFonts w:ascii="Times New Roman" w:hAnsi="Times New Roman" w:cs="Times New Roman"/>
          <w:i/>
          <w:iCs/>
          <w:color w:val="000000" w:themeColor="text1"/>
        </w:rPr>
        <w:t>41</w:t>
      </w:r>
      <w:r w:rsidRPr="00877C4B">
        <w:rPr>
          <w:rFonts w:ascii="Times New Roman" w:hAnsi="Times New Roman" w:cs="Times New Roman"/>
          <w:color w:val="000000" w:themeColor="text1"/>
        </w:rPr>
        <w:t>(3), 257–283. https://doi.org/10.1080/10641734.2019.1641447</w:t>
      </w:r>
    </w:p>
    <w:p w14:paraId="5F47BF61" w14:textId="77777777" w:rsidR="00274063" w:rsidRPr="00877C4B" w:rsidRDefault="007D4ACE" w:rsidP="00E0303A">
      <w:pPr>
        <w:pStyle w:val="31"/>
        <w:adjustRightInd w:val="0"/>
        <w:snapToGrid w:val="0"/>
        <w:spacing w:line="480" w:lineRule="auto"/>
        <w:ind w:left="480" w:hangingChars="200" w:hanging="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Tian, Y., Liu, S., &amp; Zhang, D. (2023). Clearness qualitative comparative analysis of the spread of TikTok health science knowledge popularization accounts. </w:t>
      </w:r>
      <w:r w:rsidRPr="00877C4B">
        <w:rPr>
          <w:rFonts w:ascii="Times New Roman" w:hAnsi="Times New Roman" w:cs="Times New Roman"/>
          <w:i/>
          <w:iCs/>
          <w:color w:val="000000" w:themeColor="text1"/>
        </w:rPr>
        <w:t>DIGITAL HEALTH</w:t>
      </w:r>
      <w:r w:rsidRPr="00877C4B">
        <w:rPr>
          <w:rFonts w:ascii="Times New Roman" w:hAnsi="Times New Roman" w:cs="Times New Roman"/>
          <w:color w:val="000000" w:themeColor="text1"/>
        </w:rPr>
        <w:t xml:space="preserve">, </w:t>
      </w:r>
      <w:r w:rsidRPr="00877C4B">
        <w:rPr>
          <w:rFonts w:ascii="Times New Roman" w:hAnsi="Times New Roman" w:cs="Times New Roman"/>
          <w:i/>
          <w:iCs/>
          <w:color w:val="000000" w:themeColor="text1"/>
        </w:rPr>
        <w:t>9</w:t>
      </w:r>
      <w:r w:rsidRPr="00877C4B">
        <w:rPr>
          <w:rFonts w:ascii="Times New Roman" w:hAnsi="Times New Roman" w:cs="Times New Roman"/>
          <w:color w:val="000000" w:themeColor="text1"/>
        </w:rPr>
        <w:t>, 20552076231219116. https://doi.org/10.1177/20552076231219116</w:t>
      </w:r>
    </w:p>
    <w:p w14:paraId="5E85C39A" w14:textId="77777777" w:rsidR="00274063" w:rsidRPr="00877C4B" w:rsidRDefault="007D4ACE" w:rsidP="00E0303A">
      <w:pPr>
        <w:pStyle w:val="31"/>
        <w:adjustRightInd w:val="0"/>
        <w:snapToGrid w:val="0"/>
        <w:spacing w:line="480" w:lineRule="auto"/>
        <w:ind w:left="480" w:hangingChars="200" w:hanging="480"/>
        <w:jc w:val="both"/>
        <w:rPr>
          <w:rFonts w:ascii="Times New Roman" w:hAnsi="Times New Roman" w:cs="Times New Roman"/>
          <w:color w:val="000000" w:themeColor="text1"/>
        </w:rPr>
      </w:pPr>
      <w:r w:rsidRPr="00877C4B">
        <w:rPr>
          <w:rFonts w:ascii="Times New Roman" w:hAnsi="Times New Roman" w:cs="Times New Roman"/>
          <w:color w:val="000000" w:themeColor="text1"/>
        </w:rPr>
        <w:t xml:space="preserve">Zhang, W., Yuan, H., Zhu, C., Chen, Q., Evans, R. D., &amp; Min, C. (2023). Factors influencing public engagement in government TikTok during the COVID-19 crisis. </w:t>
      </w:r>
      <w:r w:rsidRPr="00877C4B">
        <w:rPr>
          <w:rFonts w:ascii="Times New Roman" w:hAnsi="Times New Roman" w:cs="Times New Roman"/>
          <w:i/>
          <w:iCs/>
          <w:color w:val="000000" w:themeColor="text1"/>
        </w:rPr>
        <w:t>The Electronic Library</w:t>
      </w:r>
      <w:r w:rsidRPr="00877C4B">
        <w:rPr>
          <w:rFonts w:ascii="Times New Roman" w:hAnsi="Times New Roman" w:cs="Times New Roman"/>
          <w:color w:val="000000" w:themeColor="text1"/>
        </w:rPr>
        <w:t>. https://doi.org/10.1108/EL-06-2023-0150</w:t>
      </w:r>
    </w:p>
    <w:p w14:paraId="4CADE334" w14:textId="77777777" w:rsidR="00274063" w:rsidRPr="00877C4B" w:rsidRDefault="007D4ACE" w:rsidP="00E0303A">
      <w:pPr>
        <w:pStyle w:val="31"/>
        <w:adjustRightInd w:val="0"/>
        <w:snapToGrid w:val="0"/>
        <w:spacing w:line="480" w:lineRule="auto"/>
        <w:ind w:left="480" w:hangingChars="200" w:hanging="480"/>
        <w:jc w:val="both"/>
        <w:rPr>
          <w:rFonts w:ascii="Times New Roman" w:hAnsi="Times New Roman" w:cs="Times New Roman"/>
          <w:color w:val="000000" w:themeColor="text1"/>
        </w:rPr>
      </w:pPr>
      <w:r w:rsidRPr="00877C4B">
        <w:rPr>
          <w:rFonts w:ascii="Times New Roman" w:hAnsi="Times New Roman" w:cs="Times New Roman"/>
          <w:color w:val="000000" w:themeColor="text1"/>
        </w:rPr>
        <w:fldChar w:fldCharType="end"/>
      </w:r>
    </w:p>
    <w:sectPr w:rsidR="00274063" w:rsidRPr="00877C4B">
      <w:pgSz w:w="11900" w:h="16840"/>
      <w:pgMar w:top="1440" w:right="1800" w:bottom="1440" w:left="180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正文 CS 字体)">
    <w:altName w:val="宋体"/>
    <w:panose1 w:val="020B0604020202020204"/>
    <w:charset w:val="86"/>
    <w:family w:val="roman"/>
    <w:pitch w:val="default"/>
  </w:font>
  <w:font w:name="Times New Roman Bold">
    <w:altName w:val="Times New Roman"/>
    <w:panose1 w:val="020B0604020202020204"/>
    <w:charset w:val="00"/>
    <w:family w:val="auto"/>
    <w:pitch w:val="default"/>
    <w:sig w:usb0="E0002AEF" w:usb1="C0007841" w:usb2="00000009" w:usb3="00000000" w:csb0="400001FF" w:csb1="FFFF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bordersDoNotSurroundHeader/>
  <w:bordersDoNotSurroundFooter/>
  <w:hideSpellingErrors/>
  <w:hideGrammaticalErrors/>
  <w:defaultTabStop w:val="420"/>
  <w:drawingGridHorizontalSpacing w:val="120"/>
  <w:drawingGridVerticalSpacing w:val="163"/>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A5"/>
    <w:rsid w:val="9F972E73"/>
    <w:rsid w:val="A3FE103B"/>
    <w:rsid w:val="B3FF1943"/>
    <w:rsid w:val="B7E99D5E"/>
    <w:rsid w:val="BB97E668"/>
    <w:rsid w:val="BF30011B"/>
    <w:rsid w:val="CB763CE3"/>
    <w:rsid w:val="DD7F9A00"/>
    <w:rsid w:val="DDAE4C85"/>
    <w:rsid w:val="DDFA2224"/>
    <w:rsid w:val="EEEFBF71"/>
    <w:rsid w:val="EEFF7E73"/>
    <w:rsid w:val="F17FF3FE"/>
    <w:rsid w:val="F7CE1D02"/>
    <w:rsid w:val="00000ADE"/>
    <w:rsid w:val="0000196A"/>
    <w:rsid w:val="00001FF8"/>
    <w:rsid w:val="00007671"/>
    <w:rsid w:val="00011385"/>
    <w:rsid w:val="0001147D"/>
    <w:rsid w:val="00014512"/>
    <w:rsid w:val="00017431"/>
    <w:rsid w:val="00022742"/>
    <w:rsid w:val="00026768"/>
    <w:rsid w:val="00026AFC"/>
    <w:rsid w:val="00033155"/>
    <w:rsid w:val="00036D08"/>
    <w:rsid w:val="000431F5"/>
    <w:rsid w:val="00054A44"/>
    <w:rsid w:val="00054FBD"/>
    <w:rsid w:val="00062C9F"/>
    <w:rsid w:val="00066101"/>
    <w:rsid w:val="0006722A"/>
    <w:rsid w:val="0007039A"/>
    <w:rsid w:val="00072B53"/>
    <w:rsid w:val="00073553"/>
    <w:rsid w:val="00080E8C"/>
    <w:rsid w:val="00083EEE"/>
    <w:rsid w:val="00094265"/>
    <w:rsid w:val="000A04C0"/>
    <w:rsid w:val="000A2205"/>
    <w:rsid w:val="000A5E23"/>
    <w:rsid w:val="000A68B7"/>
    <w:rsid w:val="000C07D9"/>
    <w:rsid w:val="000C16DD"/>
    <w:rsid w:val="000C31B1"/>
    <w:rsid w:val="000C7B1C"/>
    <w:rsid w:val="000D6A02"/>
    <w:rsid w:val="000E33EA"/>
    <w:rsid w:val="000F37BA"/>
    <w:rsid w:val="00105DFE"/>
    <w:rsid w:val="001123E3"/>
    <w:rsid w:val="00115147"/>
    <w:rsid w:val="00135CDF"/>
    <w:rsid w:val="0014063E"/>
    <w:rsid w:val="0014705D"/>
    <w:rsid w:val="0015364C"/>
    <w:rsid w:val="00153BB8"/>
    <w:rsid w:val="00157DDA"/>
    <w:rsid w:val="00163E59"/>
    <w:rsid w:val="001653C1"/>
    <w:rsid w:val="00173A30"/>
    <w:rsid w:val="00176AB9"/>
    <w:rsid w:val="00177520"/>
    <w:rsid w:val="00181631"/>
    <w:rsid w:val="00185858"/>
    <w:rsid w:val="001913C2"/>
    <w:rsid w:val="00195981"/>
    <w:rsid w:val="00196264"/>
    <w:rsid w:val="001A3137"/>
    <w:rsid w:val="001A59DB"/>
    <w:rsid w:val="001C2B70"/>
    <w:rsid w:val="001C70FB"/>
    <w:rsid w:val="001D0B74"/>
    <w:rsid w:val="001D349E"/>
    <w:rsid w:val="001D7D44"/>
    <w:rsid w:val="001E3A8B"/>
    <w:rsid w:val="001F43DC"/>
    <w:rsid w:val="001F7887"/>
    <w:rsid w:val="001F7DC9"/>
    <w:rsid w:val="00217251"/>
    <w:rsid w:val="00221265"/>
    <w:rsid w:val="002276FA"/>
    <w:rsid w:val="00227BC8"/>
    <w:rsid w:val="00232630"/>
    <w:rsid w:val="00241114"/>
    <w:rsid w:val="00243605"/>
    <w:rsid w:val="00250DB4"/>
    <w:rsid w:val="00255635"/>
    <w:rsid w:val="00266B72"/>
    <w:rsid w:val="002711AA"/>
    <w:rsid w:val="00274063"/>
    <w:rsid w:val="002772CD"/>
    <w:rsid w:val="0027751B"/>
    <w:rsid w:val="00281CEB"/>
    <w:rsid w:val="0028201A"/>
    <w:rsid w:val="002825A6"/>
    <w:rsid w:val="00285908"/>
    <w:rsid w:val="002866E7"/>
    <w:rsid w:val="002A0B07"/>
    <w:rsid w:val="002A3ED3"/>
    <w:rsid w:val="002A47C1"/>
    <w:rsid w:val="002B12A6"/>
    <w:rsid w:val="002B2568"/>
    <w:rsid w:val="002B4F71"/>
    <w:rsid w:val="002B7434"/>
    <w:rsid w:val="002C0879"/>
    <w:rsid w:val="002C2950"/>
    <w:rsid w:val="002C5DA4"/>
    <w:rsid w:val="002D10BD"/>
    <w:rsid w:val="002D1885"/>
    <w:rsid w:val="002D2D5A"/>
    <w:rsid w:val="002D5800"/>
    <w:rsid w:val="002D6FB2"/>
    <w:rsid w:val="002E12A3"/>
    <w:rsid w:val="002E157F"/>
    <w:rsid w:val="00302866"/>
    <w:rsid w:val="00311E7D"/>
    <w:rsid w:val="00317CA0"/>
    <w:rsid w:val="00322313"/>
    <w:rsid w:val="00324E6A"/>
    <w:rsid w:val="00326730"/>
    <w:rsid w:val="003278A8"/>
    <w:rsid w:val="00330418"/>
    <w:rsid w:val="00334AC0"/>
    <w:rsid w:val="00335A50"/>
    <w:rsid w:val="003361F0"/>
    <w:rsid w:val="00345167"/>
    <w:rsid w:val="00345540"/>
    <w:rsid w:val="003474B8"/>
    <w:rsid w:val="00350F4A"/>
    <w:rsid w:val="00350FC9"/>
    <w:rsid w:val="003524E4"/>
    <w:rsid w:val="00356F90"/>
    <w:rsid w:val="00363016"/>
    <w:rsid w:val="0036517E"/>
    <w:rsid w:val="00371D9C"/>
    <w:rsid w:val="00372DF4"/>
    <w:rsid w:val="0037508E"/>
    <w:rsid w:val="0037613C"/>
    <w:rsid w:val="00376D5E"/>
    <w:rsid w:val="003815BC"/>
    <w:rsid w:val="00383372"/>
    <w:rsid w:val="00385164"/>
    <w:rsid w:val="003B13BE"/>
    <w:rsid w:val="003B3171"/>
    <w:rsid w:val="003B58D7"/>
    <w:rsid w:val="003C31A7"/>
    <w:rsid w:val="003E16B6"/>
    <w:rsid w:val="003E1B73"/>
    <w:rsid w:val="003F1A67"/>
    <w:rsid w:val="003F41DA"/>
    <w:rsid w:val="00401780"/>
    <w:rsid w:val="004226B9"/>
    <w:rsid w:val="00424264"/>
    <w:rsid w:val="00431115"/>
    <w:rsid w:val="00434FF5"/>
    <w:rsid w:val="00436321"/>
    <w:rsid w:val="00444966"/>
    <w:rsid w:val="00473ED1"/>
    <w:rsid w:val="004747E5"/>
    <w:rsid w:val="00486CA0"/>
    <w:rsid w:val="00490A23"/>
    <w:rsid w:val="004A0905"/>
    <w:rsid w:val="004A4DB9"/>
    <w:rsid w:val="004A594C"/>
    <w:rsid w:val="004B72FA"/>
    <w:rsid w:val="004C19F6"/>
    <w:rsid w:val="004C70C3"/>
    <w:rsid w:val="004D0BC3"/>
    <w:rsid w:val="004D19F4"/>
    <w:rsid w:val="004D2F6E"/>
    <w:rsid w:val="004D7CBA"/>
    <w:rsid w:val="004E2138"/>
    <w:rsid w:val="004E4A31"/>
    <w:rsid w:val="004F10FE"/>
    <w:rsid w:val="005015FA"/>
    <w:rsid w:val="00501955"/>
    <w:rsid w:val="00506361"/>
    <w:rsid w:val="0051299F"/>
    <w:rsid w:val="0051654C"/>
    <w:rsid w:val="00523917"/>
    <w:rsid w:val="00524218"/>
    <w:rsid w:val="00524DCF"/>
    <w:rsid w:val="00524FF3"/>
    <w:rsid w:val="00531FB0"/>
    <w:rsid w:val="00534280"/>
    <w:rsid w:val="0053549D"/>
    <w:rsid w:val="005434D2"/>
    <w:rsid w:val="00562EE8"/>
    <w:rsid w:val="00565EF6"/>
    <w:rsid w:val="005719EE"/>
    <w:rsid w:val="00574A01"/>
    <w:rsid w:val="0058271A"/>
    <w:rsid w:val="00584752"/>
    <w:rsid w:val="005861B7"/>
    <w:rsid w:val="00586CC4"/>
    <w:rsid w:val="005911F5"/>
    <w:rsid w:val="00591E6B"/>
    <w:rsid w:val="005926A9"/>
    <w:rsid w:val="005A66E5"/>
    <w:rsid w:val="005A7FEB"/>
    <w:rsid w:val="005B2B10"/>
    <w:rsid w:val="005B3517"/>
    <w:rsid w:val="005B495F"/>
    <w:rsid w:val="005B595A"/>
    <w:rsid w:val="005E0792"/>
    <w:rsid w:val="005E20AE"/>
    <w:rsid w:val="005E4B02"/>
    <w:rsid w:val="005E66B7"/>
    <w:rsid w:val="005F188C"/>
    <w:rsid w:val="005F2D7A"/>
    <w:rsid w:val="0060308E"/>
    <w:rsid w:val="006043E8"/>
    <w:rsid w:val="0060527F"/>
    <w:rsid w:val="00607C87"/>
    <w:rsid w:val="00610D92"/>
    <w:rsid w:val="006146DD"/>
    <w:rsid w:val="006271EB"/>
    <w:rsid w:val="00627599"/>
    <w:rsid w:val="00631C42"/>
    <w:rsid w:val="006324A5"/>
    <w:rsid w:val="006363F3"/>
    <w:rsid w:val="00637E23"/>
    <w:rsid w:val="00642AE7"/>
    <w:rsid w:val="00646563"/>
    <w:rsid w:val="00655DE5"/>
    <w:rsid w:val="006603F0"/>
    <w:rsid w:val="00684F9D"/>
    <w:rsid w:val="006855DC"/>
    <w:rsid w:val="00690BE4"/>
    <w:rsid w:val="00691F2A"/>
    <w:rsid w:val="00693C95"/>
    <w:rsid w:val="00695B6B"/>
    <w:rsid w:val="0069656A"/>
    <w:rsid w:val="006A5D0C"/>
    <w:rsid w:val="006B3381"/>
    <w:rsid w:val="006B36CC"/>
    <w:rsid w:val="006B4AD7"/>
    <w:rsid w:val="006C0ABC"/>
    <w:rsid w:val="006C62D5"/>
    <w:rsid w:val="006D2399"/>
    <w:rsid w:val="006D7ACB"/>
    <w:rsid w:val="006E2E84"/>
    <w:rsid w:val="006F7858"/>
    <w:rsid w:val="00701CE1"/>
    <w:rsid w:val="0070516E"/>
    <w:rsid w:val="007053CB"/>
    <w:rsid w:val="007156D6"/>
    <w:rsid w:val="00715D34"/>
    <w:rsid w:val="00724897"/>
    <w:rsid w:val="00726CA0"/>
    <w:rsid w:val="007354A9"/>
    <w:rsid w:val="00737103"/>
    <w:rsid w:val="00752001"/>
    <w:rsid w:val="00754A44"/>
    <w:rsid w:val="0077092D"/>
    <w:rsid w:val="00782428"/>
    <w:rsid w:val="00782CD7"/>
    <w:rsid w:val="00783AB1"/>
    <w:rsid w:val="00785BEA"/>
    <w:rsid w:val="00787106"/>
    <w:rsid w:val="0079680D"/>
    <w:rsid w:val="00796FB1"/>
    <w:rsid w:val="007B64D6"/>
    <w:rsid w:val="007B7C43"/>
    <w:rsid w:val="007D4ACE"/>
    <w:rsid w:val="007D5757"/>
    <w:rsid w:val="007E0F57"/>
    <w:rsid w:val="007E1034"/>
    <w:rsid w:val="007E2652"/>
    <w:rsid w:val="007E2F50"/>
    <w:rsid w:val="007F3592"/>
    <w:rsid w:val="007F47F8"/>
    <w:rsid w:val="00804510"/>
    <w:rsid w:val="00813521"/>
    <w:rsid w:val="00814B73"/>
    <w:rsid w:val="00816CF5"/>
    <w:rsid w:val="00817170"/>
    <w:rsid w:val="00820701"/>
    <w:rsid w:val="0083080C"/>
    <w:rsid w:val="00832579"/>
    <w:rsid w:val="008326FB"/>
    <w:rsid w:val="0083382A"/>
    <w:rsid w:val="00833E02"/>
    <w:rsid w:val="008347F3"/>
    <w:rsid w:val="00834E76"/>
    <w:rsid w:val="0083675C"/>
    <w:rsid w:val="0083739C"/>
    <w:rsid w:val="008379DE"/>
    <w:rsid w:val="00837BE9"/>
    <w:rsid w:val="00840787"/>
    <w:rsid w:val="008410D1"/>
    <w:rsid w:val="00847474"/>
    <w:rsid w:val="00851E7F"/>
    <w:rsid w:val="00854B11"/>
    <w:rsid w:val="0085506B"/>
    <w:rsid w:val="00861E45"/>
    <w:rsid w:val="00872B87"/>
    <w:rsid w:val="00875026"/>
    <w:rsid w:val="0087582B"/>
    <w:rsid w:val="00877C4B"/>
    <w:rsid w:val="00881A64"/>
    <w:rsid w:val="00881D5E"/>
    <w:rsid w:val="00882ADC"/>
    <w:rsid w:val="00884676"/>
    <w:rsid w:val="0088487D"/>
    <w:rsid w:val="00885E4F"/>
    <w:rsid w:val="008A13B9"/>
    <w:rsid w:val="008A2927"/>
    <w:rsid w:val="008A7031"/>
    <w:rsid w:val="008B46FD"/>
    <w:rsid w:val="008C6FC6"/>
    <w:rsid w:val="008C7B25"/>
    <w:rsid w:val="008D4EAE"/>
    <w:rsid w:val="008E43BE"/>
    <w:rsid w:val="008F46B1"/>
    <w:rsid w:val="00906A0C"/>
    <w:rsid w:val="00912167"/>
    <w:rsid w:val="00912D83"/>
    <w:rsid w:val="00917B26"/>
    <w:rsid w:val="00922ED9"/>
    <w:rsid w:val="0092376C"/>
    <w:rsid w:val="009251CA"/>
    <w:rsid w:val="00937E37"/>
    <w:rsid w:val="009444B1"/>
    <w:rsid w:val="00947182"/>
    <w:rsid w:val="00955B7F"/>
    <w:rsid w:val="0096022C"/>
    <w:rsid w:val="00961F4B"/>
    <w:rsid w:val="00963B56"/>
    <w:rsid w:val="00965254"/>
    <w:rsid w:val="00965383"/>
    <w:rsid w:val="00965F03"/>
    <w:rsid w:val="00966BCB"/>
    <w:rsid w:val="00967B44"/>
    <w:rsid w:val="00970CBF"/>
    <w:rsid w:val="00971CF7"/>
    <w:rsid w:val="009769D5"/>
    <w:rsid w:val="009776D9"/>
    <w:rsid w:val="009800D2"/>
    <w:rsid w:val="00983B06"/>
    <w:rsid w:val="009841C1"/>
    <w:rsid w:val="00986BFA"/>
    <w:rsid w:val="0098716D"/>
    <w:rsid w:val="00991695"/>
    <w:rsid w:val="00991B41"/>
    <w:rsid w:val="009926BF"/>
    <w:rsid w:val="009A0FFC"/>
    <w:rsid w:val="009A1F45"/>
    <w:rsid w:val="009A7058"/>
    <w:rsid w:val="009B1391"/>
    <w:rsid w:val="009B38C8"/>
    <w:rsid w:val="009B4024"/>
    <w:rsid w:val="009C1A5A"/>
    <w:rsid w:val="009C3E9B"/>
    <w:rsid w:val="009C7D47"/>
    <w:rsid w:val="009D04CC"/>
    <w:rsid w:val="009D2711"/>
    <w:rsid w:val="009D2917"/>
    <w:rsid w:val="009E4100"/>
    <w:rsid w:val="009F2E97"/>
    <w:rsid w:val="009F7479"/>
    <w:rsid w:val="00A046B8"/>
    <w:rsid w:val="00A07776"/>
    <w:rsid w:val="00A1080A"/>
    <w:rsid w:val="00A11647"/>
    <w:rsid w:val="00A16A99"/>
    <w:rsid w:val="00A4434D"/>
    <w:rsid w:val="00A53666"/>
    <w:rsid w:val="00A56D30"/>
    <w:rsid w:val="00A65739"/>
    <w:rsid w:val="00A7561A"/>
    <w:rsid w:val="00A77207"/>
    <w:rsid w:val="00A80CD6"/>
    <w:rsid w:val="00A81226"/>
    <w:rsid w:val="00A84908"/>
    <w:rsid w:val="00A84BCB"/>
    <w:rsid w:val="00A855FE"/>
    <w:rsid w:val="00A90954"/>
    <w:rsid w:val="00A926D3"/>
    <w:rsid w:val="00A968F0"/>
    <w:rsid w:val="00AA0A2E"/>
    <w:rsid w:val="00AA39C7"/>
    <w:rsid w:val="00AB4DC7"/>
    <w:rsid w:val="00AC2071"/>
    <w:rsid w:val="00AC3174"/>
    <w:rsid w:val="00AC3E0C"/>
    <w:rsid w:val="00AC4D12"/>
    <w:rsid w:val="00AD2D1F"/>
    <w:rsid w:val="00AD5AE0"/>
    <w:rsid w:val="00AE04CA"/>
    <w:rsid w:val="00AE50F3"/>
    <w:rsid w:val="00AE7878"/>
    <w:rsid w:val="00AF237D"/>
    <w:rsid w:val="00AF28C0"/>
    <w:rsid w:val="00AF4540"/>
    <w:rsid w:val="00AF7BB7"/>
    <w:rsid w:val="00B01B5F"/>
    <w:rsid w:val="00B01F40"/>
    <w:rsid w:val="00B14519"/>
    <w:rsid w:val="00B237D8"/>
    <w:rsid w:val="00B439BB"/>
    <w:rsid w:val="00B458AF"/>
    <w:rsid w:val="00B505E6"/>
    <w:rsid w:val="00B571DD"/>
    <w:rsid w:val="00B57662"/>
    <w:rsid w:val="00B63A8C"/>
    <w:rsid w:val="00B649F7"/>
    <w:rsid w:val="00B735EC"/>
    <w:rsid w:val="00B73A60"/>
    <w:rsid w:val="00B856ED"/>
    <w:rsid w:val="00BA19EE"/>
    <w:rsid w:val="00BA231C"/>
    <w:rsid w:val="00BA2B3C"/>
    <w:rsid w:val="00BC0086"/>
    <w:rsid w:val="00BC42A4"/>
    <w:rsid w:val="00BC6B77"/>
    <w:rsid w:val="00BD34E5"/>
    <w:rsid w:val="00BE2BF5"/>
    <w:rsid w:val="00BE396A"/>
    <w:rsid w:val="00BF3C05"/>
    <w:rsid w:val="00C05DEC"/>
    <w:rsid w:val="00C30B50"/>
    <w:rsid w:val="00C33973"/>
    <w:rsid w:val="00C4046F"/>
    <w:rsid w:val="00C50D92"/>
    <w:rsid w:val="00C5198D"/>
    <w:rsid w:val="00C53394"/>
    <w:rsid w:val="00C56DB2"/>
    <w:rsid w:val="00C61798"/>
    <w:rsid w:val="00C726DA"/>
    <w:rsid w:val="00C80B0A"/>
    <w:rsid w:val="00C86A20"/>
    <w:rsid w:val="00C91E6C"/>
    <w:rsid w:val="00C94795"/>
    <w:rsid w:val="00C96142"/>
    <w:rsid w:val="00CA0AC9"/>
    <w:rsid w:val="00CA28F6"/>
    <w:rsid w:val="00CA2B84"/>
    <w:rsid w:val="00CA38D8"/>
    <w:rsid w:val="00CA542A"/>
    <w:rsid w:val="00CA57C6"/>
    <w:rsid w:val="00CB5E0A"/>
    <w:rsid w:val="00CB5FBB"/>
    <w:rsid w:val="00CB763C"/>
    <w:rsid w:val="00CC26B2"/>
    <w:rsid w:val="00CD4B4D"/>
    <w:rsid w:val="00CE14DB"/>
    <w:rsid w:val="00CE22D2"/>
    <w:rsid w:val="00CF40BA"/>
    <w:rsid w:val="00CF6557"/>
    <w:rsid w:val="00D06047"/>
    <w:rsid w:val="00D07281"/>
    <w:rsid w:val="00D07295"/>
    <w:rsid w:val="00D07C55"/>
    <w:rsid w:val="00D12A8B"/>
    <w:rsid w:val="00D12E6D"/>
    <w:rsid w:val="00D168DE"/>
    <w:rsid w:val="00D22504"/>
    <w:rsid w:val="00D235C7"/>
    <w:rsid w:val="00D2388D"/>
    <w:rsid w:val="00D3451C"/>
    <w:rsid w:val="00D425BD"/>
    <w:rsid w:val="00D4785B"/>
    <w:rsid w:val="00D53C16"/>
    <w:rsid w:val="00D6104C"/>
    <w:rsid w:val="00D61742"/>
    <w:rsid w:val="00D642FF"/>
    <w:rsid w:val="00D67269"/>
    <w:rsid w:val="00D84671"/>
    <w:rsid w:val="00D84C75"/>
    <w:rsid w:val="00D87BFB"/>
    <w:rsid w:val="00D9763C"/>
    <w:rsid w:val="00D976E0"/>
    <w:rsid w:val="00DA0F25"/>
    <w:rsid w:val="00DA19E6"/>
    <w:rsid w:val="00DA1D6C"/>
    <w:rsid w:val="00DA4631"/>
    <w:rsid w:val="00DA4F3D"/>
    <w:rsid w:val="00DA6B06"/>
    <w:rsid w:val="00DA7BD2"/>
    <w:rsid w:val="00DB2B47"/>
    <w:rsid w:val="00DB32FD"/>
    <w:rsid w:val="00DC1E03"/>
    <w:rsid w:val="00DC2A9C"/>
    <w:rsid w:val="00DC3D74"/>
    <w:rsid w:val="00DC4433"/>
    <w:rsid w:val="00DC73E7"/>
    <w:rsid w:val="00DD0F40"/>
    <w:rsid w:val="00DD2C2E"/>
    <w:rsid w:val="00DD2C60"/>
    <w:rsid w:val="00DD5B8B"/>
    <w:rsid w:val="00DD5DB6"/>
    <w:rsid w:val="00DD6778"/>
    <w:rsid w:val="00DD69B5"/>
    <w:rsid w:val="00DD7788"/>
    <w:rsid w:val="00DE200A"/>
    <w:rsid w:val="00E0007D"/>
    <w:rsid w:val="00E0303A"/>
    <w:rsid w:val="00E04540"/>
    <w:rsid w:val="00E11456"/>
    <w:rsid w:val="00E209E3"/>
    <w:rsid w:val="00E21175"/>
    <w:rsid w:val="00E25359"/>
    <w:rsid w:val="00E33C76"/>
    <w:rsid w:val="00E34FB5"/>
    <w:rsid w:val="00E500AA"/>
    <w:rsid w:val="00E50BA8"/>
    <w:rsid w:val="00E51BAA"/>
    <w:rsid w:val="00E53FE6"/>
    <w:rsid w:val="00E55BC3"/>
    <w:rsid w:val="00E644F3"/>
    <w:rsid w:val="00E66BFF"/>
    <w:rsid w:val="00E70481"/>
    <w:rsid w:val="00E707B3"/>
    <w:rsid w:val="00E7115C"/>
    <w:rsid w:val="00E7280D"/>
    <w:rsid w:val="00E753CD"/>
    <w:rsid w:val="00E7552E"/>
    <w:rsid w:val="00E97638"/>
    <w:rsid w:val="00EA17B0"/>
    <w:rsid w:val="00EA24D8"/>
    <w:rsid w:val="00EA28BB"/>
    <w:rsid w:val="00EA43E5"/>
    <w:rsid w:val="00EB3BFB"/>
    <w:rsid w:val="00EB3E95"/>
    <w:rsid w:val="00EB66FE"/>
    <w:rsid w:val="00EC3B18"/>
    <w:rsid w:val="00EC7A7D"/>
    <w:rsid w:val="00EC7E4F"/>
    <w:rsid w:val="00ED3912"/>
    <w:rsid w:val="00ED4B21"/>
    <w:rsid w:val="00ED5E58"/>
    <w:rsid w:val="00ED602D"/>
    <w:rsid w:val="00ED66BE"/>
    <w:rsid w:val="00EF72D6"/>
    <w:rsid w:val="00F00629"/>
    <w:rsid w:val="00F06B28"/>
    <w:rsid w:val="00F11707"/>
    <w:rsid w:val="00F16638"/>
    <w:rsid w:val="00F234DB"/>
    <w:rsid w:val="00F246A7"/>
    <w:rsid w:val="00F433A0"/>
    <w:rsid w:val="00F4657C"/>
    <w:rsid w:val="00F47979"/>
    <w:rsid w:val="00F50268"/>
    <w:rsid w:val="00F528AD"/>
    <w:rsid w:val="00F61483"/>
    <w:rsid w:val="00F65047"/>
    <w:rsid w:val="00F70474"/>
    <w:rsid w:val="00F73669"/>
    <w:rsid w:val="00F75A22"/>
    <w:rsid w:val="00F81844"/>
    <w:rsid w:val="00F85BC3"/>
    <w:rsid w:val="00F975D8"/>
    <w:rsid w:val="00F97F58"/>
    <w:rsid w:val="00FA54BA"/>
    <w:rsid w:val="00FB3650"/>
    <w:rsid w:val="00FB53DE"/>
    <w:rsid w:val="00FC0409"/>
    <w:rsid w:val="00FC3563"/>
    <w:rsid w:val="00FC4225"/>
    <w:rsid w:val="00FC465D"/>
    <w:rsid w:val="00FC5D29"/>
    <w:rsid w:val="00FD0598"/>
    <w:rsid w:val="00FD49B2"/>
    <w:rsid w:val="00FD620B"/>
    <w:rsid w:val="00FD72F5"/>
    <w:rsid w:val="00FF6CAB"/>
    <w:rsid w:val="17FBED3C"/>
    <w:rsid w:val="2FEF9E23"/>
    <w:rsid w:val="337906F2"/>
    <w:rsid w:val="3DBFA984"/>
    <w:rsid w:val="49FE4B43"/>
    <w:rsid w:val="4FBB6171"/>
    <w:rsid w:val="5ED7EE90"/>
    <w:rsid w:val="6F557FC5"/>
    <w:rsid w:val="74E96230"/>
    <w:rsid w:val="7A7727FC"/>
    <w:rsid w:val="7DFF25FD"/>
    <w:rsid w:val="7F2FF772"/>
    <w:rsid w:val="7F6FD59A"/>
    <w:rsid w:val="7FBE3421"/>
    <w:rsid w:val="7FD39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D1465C1"/>
  <w15:docId w15:val="{CE86E6B8-3F33-D34B-8808-A48C64A3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宋体" w:hAnsi="宋体" w:cs="宋体"/>
      <w:sz w:val="24"/>
      <w:szCs w:val="24"/>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pPr>
      <w:widowControl w:val="0"/>
      <w:snapToGrid w:val="0"/>
    </w:pPr>
    <w:rPr>
      <w:rFonts w:ascii="Calibri" w:hAnsi="Calibri" w:cs="Times New Roman"/>
      <w:kern w:val="2"/>
      <w:sz w:val="18"/>
      <w:szCs w:val="21"/>
      <w:lang w:val="en"/>
    </w:rPr>
  </w:style>
  <w:style w:type="paragraph" w:styleId="a5">
    <w:name w:val="Normal (Web)"/>
    <w:basedOn w:val="a"/>
    <w:uiPriority w:val="99"/>
    <w:unhideWhenUsed/>
    <w:pPr>
      <w:spacing w:before="100" w:beforeAutospacing="1" w:after="100" w:afterAutospacing="1"/>
    </w:pPr>
  </w:style>
  <w:style w:type="table" w:styleId="a6">
    <w:name w:val="Table Grid"/>
    <w:basedOn w:val="a1"/>
    <w:uiPriority w:val="39"/>
    <w:pPr>
      <w:widowControl w:val="0"/>
      <w:jc w:val="both"/>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Pr>
      <w:b/>
      <w:bCs/>
    </w:rPr>
  </w:style>
  <w:style w:type="character" w:styleId="a8">
    <w:name w:val="Emphasis"/>
    <w:basedOn w:val="a0"/>
    <w:uiPriority w:val="20"/>
    <w:qFormat/>
    <w:rPr>
      <w:i/>
      <w:iCs/>
    </w:rPr>
  </w:style>
  <w:style w:type="character" w:styleId="a9">
    <w:name w:val="footnote reference"/>
    <w:basedOn w:val="a0"/>
    <w:uiPriority w:val="99"/>
    <w:semiHidden/>
    <w:unhideWhenUsed/>
    <w:rPr>
      <w:vertAlign w:val="superscript"/>
    </w:rPr>
  </w:style>
  <w:style w:type="character" w:customStyle="1" w:styleId="apple-converted-space">
    <w:name w:val="apple-converted-space"/>
    <w:basedOn w:val="a0"/>
  </w:style>
  <w:style w:type="character" w:customStyle="1" w:styleId="30">
    <w:name w:val="标题 3 字符"/>
    <w:basedOn w:val="a0"/>
    <w:link w:val="3"/>
    <w:uiPriority w:val="9"/>
    <w:rPr>
      <w:rFonts w:ascii="宋体" w:hAnsi="宋体" w:cs="宋体"/>
      <w:b/>
      <w:bCs/>
      <w:kern w:val="0"/>
      <w:sz w:val="27"/>
      <w:szCs w:val="27"/>
    </w:rPr>
  </w:style>
  <w:style w:type="character" w:customStyle="1" w:styleId="katex-mathml">
    <w:name w:val="katex-mathml"/>
    <w:basedOn w:val="a0"/>
  </w:style>
  <w:style w:type="character" w:customStyle="1" w:styleId="mopen">
    <w:name w:val="mopen"/>
    <w:basedOn w:val="a0"/>
  </w:style>
  <w:style w:type="character" w:customStyle="1" w:styleId="mord">
    <w:name w:val="mord"/>
    <w:basedOn w:val="a0"/>
  </w:style>
  <w:style w:type="character" w:customStyle="1" w:styleId="vlist-s">
    <w:name w:val="vlist-s"/>
    <w:basedOn w:val="a0"/>
  </w:style>
  <w:style w:type="character" w:customStyle="1" w:styleId="mrel">
    <w:name w:val="mrel"/>
    <w:basedOn w:val="a0"/>
  </w:style>
  <w:style w:type="character" w:customStyle="1" w:styleId="mclose">
    <w:name w:val="mclose"/>
    <w:basedOn w:val="a0"/>
  </w:style>
  <w:style w:type="character" w:customStyle="1" w:styleId="mop">
    <w:name w:val="mop"/>
    <w:basedOn w:val="a0"/>
  </w:style>
  <w:style w:type="character" w:customStyle="1" w:styleId="mpunct">
    <w:name w:val="mpunct"/>
    <w:basedOn w:val="a0"/>
  </w:style>
  <w:style w:type="paragraph" w:styleId="aa">
    <w:name w:val="List Paragraph"/>
    <w:basedOn w:val="a"/>
    <w:uiPriority w:val="34"/>
    <w:qFormat/>
    <w:pPr>
      <w:widowControl w:val="0"/>
      <w:ind w:firstLineChars="200" w:firstLine="420"/>
      <w:jc w:val="both"/>
    </w:pPr>
    <w:rPr>
      <w:rFonts w:ascii="Times New Roman" w:hAnsi="Times New Roman" w:cs="Times New Roman (正文 CS 字体)"/>
      <w:kern w:val="2"/>
      <w:lang w:val="en"/>
    </w:rPr>
  </w:style>
  <w:style w:type="paragraph" w:customStyle="1" w:styleId="1">
    <w:name w:val="书目1"/>
    <w:basedOn w:val="a"/>
    <w:next w:val="a"/>
    <w:uiPriority w:val="37"/>
    <w:unhideWhenUsed/>
    <w:pPr>
      <w:widowControl w:val="0"/>
      <w:spacing w:line="480" w:lineRule="auto"/>
      <w:ind w:left="720" w:hanging="720"/>
      <w:jc w:val="both"/>
    </w:pPr>
    <w:rPr>
      <w:rFonts w:ascii="Times New Roman" w:hAnsi="Times New Roman" w:cs="Times New Roman (正文 CS 字体)"/>
      <w:kern w:val="2"/>
    </w:rPr>
  </w:style>
  <w:style w:type="character" w:customStyle="1" w:styleId="a4">
    <w:name w:val="脚注文本 字符"/>
    <w:basedOn w:val="a0"/>
    <w:link w:val="a3"/>
    <w:uiPriority w:val="99"/>
    <w:semiHidden/>
    <w:rPr>
      <w:rFonts w:ascii="Calibri" w:hAnsi="Calibri" w:cs="Times New Roman"/>
      <w:kern w:val="2"/>
      <w:sz w:val="18"/>
      <w:szCs w:val="21"/>
      <w:lang w:val="en"/>
    </w:rPr>
  </w:style>
  <w:style w:type="paragraph" w:customStyle="1" w:styleId="2">
    <w:name w:val="书目2"/>
    <w:basedOn w:val="a"/>
    <w:next w:val="a"/>
    <w:uiPriority w:val="37"/>
    <w:unhideWhenUsed/>
  </w:style>
  <w:style w:type="paragraph" w:customStyle="1" w:styleId="31">
    <w:name w:val="书目3"/>
    <w:basedOn w:val="a"/>
    <w:next w:val="a"/>
    <w:uiPriority w:val="37"/>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40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12466</Words>
  <Characters>71060</Characters>
  <Application>Microsoft Office Word</Application>
  <DocSecurity>0</DocSecurity>
  <Lines>592</Lines>
  <Paragraphs>166</Paragraphs>
  <ScaleCrop>false</ScaleCrop>
  <Company/>
  <LinksUpToDate>false</LinksUpToDate>
  <CharactersWithSpaces>83360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4</cp:revision>
  <dcterms:created xsi:type="dcterms:W3CDTF">2025-07-30T15:05:00Z</dcterms:created>
  <dcterms:modified xsi:type="dcterms:W3CDTF">2025-07-31T08:13:00Z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2052-6.2.0.8299</vt:lpwstr>
  </property>
  <property fmtid="{D5CDD505-2E9C-101B-9397-08002B2CF9AE}" pid="3" name="ICV">
    <vt:lpwstr>1D7C9EB1EB883B00F317EC667F7024D6_42</vt:lpwstr>
  </property>
  <property fmtid="{D5CDD505-2E9C-101B-9397-08002B2CF9AE}" pid="4" name="ZOTERO_PREF_1">
    <vt:lpwstr>&lt;data data-version="3" zotero-version="7.0.12-beta.1+31bbf2acf"&gt;&lt;session id="YSZn521A"/&gt;&lt;style id="http://www.zotero.org/styles/apa" locale="en-US" hasBibliography="1" bibliographyStyleHasBeenSet="1"/&gt;&lt;prefs&gt;&lt;pref name="fieldType" value="Field"/&gt;&lt;pref nam</vt:lpwstr>
  </property>
  <property fmtid="{D5CDD505-2E9C-101B-9397-08002B2CF9AE}" pid="5" name="ZOTERO_PREF_2">
    <vt:lpwstr>e="automaticJournalAbbreviations" value="true"/&gt;&lt;/prefs&gt;&lt;/data&gt;</vt:lpwstr>
  </property>
</Properties>
</file>